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24" w:rsidRDefault="00C438B7" w:rsidP="002A6624">
      <w:pPr>
        <w:spacing w:before="140" w:after="140" w:line="320" w:lineRule="exact"/>
        <w:ind w:firstLine="567"/>
        <w:jc w:val="both"/>
        <w:rPr>
          <w:sz w:val="26"/>
        </w:rPr>
      </w:pPr>
      <w:bookmarkStart w:id="0" w:name="_GoBack"/>
      <w:bookmarkEnd w:id="0"/>
      <w:r w:rsidRPr="00C438B7">
        <w:rPr>
          <w:sz w:val="26"/>
        </w:rPr>
        <w:t xml:space="preserve">Ngày 18/06/2015, Tổng Công ty đã có văn bản số 1617/ĐS-QTCN đề nghị các đơn vị báo cáo kết quả ứng dụng nghiên cứu đề tài đối với các đề tài đã thực hiện trong năm 2014. Sau khi tập hợp, </w:t>
      </w:r>
      <w:r w:rsidR="002A6624">
        <w:rPr>
          <w:sz w:val="26"/>
        </w:rPr>
        <w:t>đ</w:t>
      </w:r>
      <w:r>
        <w:rPr>
          <w:sz w:val="26"/>
        </w:rPr>
        <w:t>ã có 22</w:t>
      </w:r>
      <w:r w:rsidR="00F31727">
        <w:rPr>
          <w:sz w:val="26"/>
        </w:rPr>
        <w:t>/26</w:t>
      </w:r>
      <w:r>
        <w:rPr>
          <w:sz w:val="26"/>
        </w:rPr>
        <w:t xml:space="preserve"> đề tài có ứng dựng </w:t>
      </w:r>
      <w:r w:rsidR="00F31727">
        <w:rPr>
          <w:sz w:val="26"/>
        </w:rPr>
        <w:t xml:space="preserve">(4 đề tài còn lại thì có 3 đề tài đã bảo vệ, nhưng chưa hoàn thiện được Báo cáo tổng kết đề tài, 1 đề tài vừa gia hạn sẽ bảo vệ trong tháng 9/2015). </w:t>
      </w:r>
      <w:r w:rsidR="002A6624">
        <w:rPr>
          <w:sz w:val="26"/>
        </w:rPr>
        <w:t xml:space="preserve">Kết quả cụ thể như sau: </w:t>
      </w:r>
    </w:p>
    <w:p w:rsidR="002A6624" w:rsidRPr="002A6624" w:rsidRDefault="002A6624" w:rsidP="00C438B7">
      <w:pPr>
        <w:spacing w:before="140" w:after="140" w:line="320" w:lineRule="exact"/>
        <w:ind w:firstLine="567"/>
        <w:jc w:val="both"/>
        <w:rPr>
          <w:b/>
          <w:sz w:val="26"/>
        </w:rPr>
      </w:pPr>
      <w:r>
        <w:rPr>
          <w:b/>
          <w:sz w:val="26"/>
        </w:rPr>
        <w:t xml:space="preserve">1. </w:t>
      </w:r>
      <w:r w:rsidRPr="002A6624">
        <w:rPr>
          <w:b/>
          <w:sz w:val="26"/>
        </w:rPr>
        <w:t>Triển khai ứng dụng</w:t>
      </w:r>
    </w:p>
    <w:p w:rsidR="002A6624" w:rsidRDefault="00F31727" w:rsidP="00C438B7">
      <w:pPr>
        <w:spacing w:before="140" w:after="140" w:line="320" w:lineRule="exact"/>
        <w:ind w:firstLine="567"/>
        <w:jc w:val="both"/>
        <w:rPr>
          <w:sz w:val="26"/>
        </w:rPr>
      </w:pPr>
      <w:r>
        <w:rPr>
          <w:sz w:val="26"/>
        </w:rPr>
        <w:t xml:space="preserve">Các đề tài </w:t>
      </w:r>
      <w:r w:rsidR="002A6624">
        <w:rPr>
          <w:sz w:val="26"/>
        </w:rPr>
        <w:t xml:space="preserve">này đều đã được ứng dụng ngay vào hoạt động SXKD của đơn vị và của Tổng Công ty, một số đề tài đã có kế hoạch ứng dụng trên toàn phạm vi quản lý của đơn vị như </w:t>
      </w:r>
    </w:p>
    <w:p w:rsidR="00C438B7" w:rsidRPr="002A6624" w:rsidRDefault="002A6624" w:rsidP="00C438B7">
      <w:pPr>
        <w:spacing w:before="140" w:after="140" w:line="320" w:lineRule="exact"/>
        <w:ind w:firstLine="567"/>
        <w:jc w:val="both"/>
        <w:rPr>
          <w:sz w:val="26"/>
        </w:rPr>
      </w:pPr>
      <w:r>
        <w:rPr>
          <w:sz w:val="26"/>
        </w:rPr>
        <w:t xml:space="preserve">- Đề tài </w:t>
      </w:r>
      <w:r w:rsidRPr="002A6624">
        <w:rPr>
          <w:i/>
          <w:sz w:val="26"/>
        </w:rPr>
        <w:t>“Nghiên cứu chế tạo và thử nghiệm mạch điện tử phát âm thanh cảnh báo dùng cho Đường ngang”</w:t>
      </w:r>
      <w:r>
        <w:rPr>
          <w:sz w:val="26"/>
        </w:rPr>
        <w:t xml:space="preserve"> của Công ty TTTH ĐS Sài Gòn - Kế hoạch số </w:t>
      </w:r>
      <w:r w:rsidRPr="002A6624">
        <w:rPr>
          <w:sz w:val="26"/>
        </w:rPr>
        <w:t>228/KH-TTSG</w:t>
      </w:r>
      <w:r>
        <w:rPr>
          <w:sz w:val="26"/>
        </w:rPr>
        <w:t xml:space="preserve"> </w:t>
      </w:r>
      <w:r w:rsidRPr="002A6624">
        <w:rPr>
          <w:sz w:val="26"/>
        </w:rPr>
        <w:t>ứng dụng, thay thế, lắp đặt cho các đường ngang có gác và đường ngang CBTĐ thuộc phạm vi quản lý của Công ty</w:t>
      </w:r>
    </w:p>
    <w:p w:rsidR="002A6624" w:rsidRDefault="002A6624" w:rsidP="00C438B7">
      <w:pPr>
        <w:spacing w:before="140" w:after="140" w:line="320" w:lineRule="exact"/>
        <w:ind w:firstLine="567"/>
        <w:jc w:val="both"/>
        <w:rPr>
          <w:sz w:val="26"/>
        </w:rPr>
      </w:pPr>
      <w:r>
        <w:rPr>
          <w:sz w:val="26"/>
        </w:rPr>
        <w:t xml:space="preserve">- Đề tài </w:t>
      </w:r>
      <w:r w:rsidRPr="002A6624">
        <w:rPr>
          <w:i/>
          <w:sz w:val="26"/>
        </w:rPr>
        <w:t>“Nghiên cứu thiết kế chế tạo Bộ thiết bị biến đổi tín hiệu điều khiển vòng quay động cơ bằng kỹ thuật số lắp cho động cơ CAT 3508 thay thế cho bộ điều khiển gia tốc động cơ 12V180ZJ trên đầu máy D10H"</w:t>
      </w:r>
      <w:r>
        <w:rPr>
          <w:sz w:val="26"/>
        </w:rPr>
        <w:t xml:space="preserve"> của XN Đầu máy Yên Viên để lắp đặt trên toàn bộ các đầu máy D10H.</w:t>
      </w:r>
    </w:p>
    <w:p w:rsidR="002A6624" w:rsidRDefault="002A6624" w:rsidP="00C438B7">
      <w:pPr>
        <w:spacing w:before="140" w:after="140" w:line="320" w:lineRule="exact"/>
        <w:ind w:firstLine="567"/>
        <w:jc w:val="both"/>
        <w:rPr>
          <w:sz w:val="26"/>
        </w:rPr>
      </w:pPr>
      <w:r>
        <w:rPr>
          <w:sz w:val="26"/>
        </w:rPr>
        <w:t xml:space="preserve">- Đề tài </w:t>
      </w:r>
      <w:r w:rsidRPr="002A6624">
        <w:rPr>
          <w:i/>
          <w:sz w:val="26"/>
        </w:rPr>
        <w:t>“Nghiên cứu, chế tạo mới bộ sơ mi bằng gang hợp kim thay thế cho sơ mi nhập ngoại của động cơ 251D trên đầu máy D13E”</w:t>
      </w:r>
      <w:r>
        <w:rPr>
          <w:sz w:val="26"/>
        </w:rPr>
        <w:t xml:space="preserve"> của XN Đầu máy Sài Gòn để thay thế cho 6 bộ thay thế cho các sơ mi cũ.</w:t>
      </w:r>
    </w:p>
    <w:p w:rsidR="002A6624" w:rsidRDefault="002A6624" w:rsidP="00C438B7">
      <w:pPr>
        <w:spacing w:before="140" w:after="140" w:line="320" w:lineRule="exact"/>
        <w:ind w:firstLine="567"/>
        <w:jc w:val="both"/>
        <w:rPr>
          <w:b/>
          <w:sz w:val="26"/>
        </w:rPr>
      </w:pPr>
      <w:r w:rsidRPr="002A6624">
        <w:rPr>
          <w:b/>
          <w:sz w:val="26"/>
        </w:rPr>
        <w:t>2. Hiệu quả đề tài</w:t>
      </w:r>
    </w:p>
    <w:p w:rsidR="004361C8" w:rsidRDefault="00B06518" w:rsidP="00C438B7">
      <w:pPr>
        <w:spacing w:before="140" w:after="140" w:line="320" w:lineRule="exact"/>
        <w:ind w:firstLine="567"/>
        <w:jc w:val="both"/>
        <w:rPr>
          <w:sz w:val="26"/>
        </w:rPr>
      </w:pPr>
      <w:r>
        <w:rPr>
          <w:sz w:val="26"/>
        </w:rPr>
        <w:t xml:space="preserve">Tổng kinh phí thực hiện của 22 đề tài là </w:t>
      </w:r>
      <w:r w:rsidR="007A7B91">
        <w:rPr>
          <w:sz w:val="26"/>
        </w:rPr>
        <w:t xml:space="preserve">6 tỷ 635, </w:t>
      </w:r>
      <w:r w:rsidR="004361C8">
        <w:rPr>
          <w:sz w:val="26"/>
        </w:rPr>
        <w:t>kinh phí</w:t>
      </w:r>
      <w:r w:rsidR="007A7B91">
        <w:rPr>
          <w:sz w:val="26"/>
        </w:rPr>
        <w:t xml:space="preserve"> bình quân là 301 triệu/đề tài, tổng giá trị làm lợi là 4 tỷ 378 triệu, giá trị làm lợi bình quân là 199 triệu/đề tài.</w:t>
      </w:r>
      <w:r w:rsidR="004361C8">
        <w:rPr>
          <w:sz w:val="26"/>
        </w:rPr>
        <w:t xml:space="preserve"> So với năm 2013 thì kinh phí bình quân là 134 triệu/đề tài, giá trị làm lợi bình quân là 579 triệu/đề tài. Như vậy có thể nói kinh phí bình quân đề tài năm 2014 cao hơn nhưng giá trị làm lợi lại thấp hơn so với đề tài năm 2013.</w:t>
      </w:r>
    </w:p>
    <w:p w:rsidR="006367E0" w:rsidRDefault="006367E0" w:rsidP="00C438B7">
      <w:pPr>
        <w:spacing w:before="140" w:after="140" w:line="320" w:lineRule="exact"/>
        <w:ind w:firstLine="567"/>
        <w:jc w:val="both"/>
        <w:rPr>
          <w:sz w:val="26"/>
        </w:rPr>
      </w:pPr>
      <w:r>
        <w:rPr>
          <w:sz w:val="26"/>
        </w:rPr>
        <w:t xml:space="preserve">Đi vào cụ thể của năm 2014, </w:t>
      </w:r>
      <w:r w:rsidR="005B26AD">
        <w:rPr>
          <w:sz w:val="26"/>
        </w:rPr>
        <w:t>ta có bảng số liệu sau</w:t>
      </w:r>
    </w:p>
    <w:p w:rsidR="005B26AD" w:rsidRDefault="005B26AD" w:rsidP="00C438B7">
      <w:pPr>
        <w:spacing w:before="140" w:after="140" w:line="320" w:lineRule="exact"/>
        <w:ind w:firstLine="567"/>
        <w:jc w:val="both"/>
        <w:rPr>
          <w:sz w:val="26"/>
        </w:rPr>
      </w:pPr>
    </w:p>
    <w:p w:rsidR="009146DA" w:rsidRDefault="009146DA" w:rsidP="00C438B7">
      <w:pPr>
        <w:spacing w:before="140" w:after="140" w:line="320" w:lineRule="exact"/>
        <w:ind w:firstLine="567"/>
        <w:jc w:val="both"/>
        <w:rPr>
          <w:sz w:val="26"/>
        </w:rPr>
      </w:pPr>
    </w:p>
    <w:p w:rsidR="005B26AD" w:rsidRPr="00F8001B" w:rsidRDefault="00F8001B" w:rsidP="00F8001B">
      <w:pPr>
        <w:spacing w:before="140" w:after="140" w:line="320" w:lineRule="exact"/>
        <w:jc w:val="center"/>
        <w:rPr>
          <w:b/>
          <w:sz w:val="26"/>
        </w:rPr>
      </w:pPr>
      <w:r w:rsidRPr="00F8001B">
        <w:rPr>
          <w:b/>
          <w:sz w:val="26"/>
        </w:rPr>
        <w:t>Bảng 1</w:t>
      </w:r>
      <w:r>
        <w:rPr>
          <w:b/>
          <w:sz w:val="26"/>
        </w:rPr>
        <w:t>.</w:t>
      </w:r>
      <w:r w:rsidRPr="00F8001B">
        <w:rPr>
          <w:b/>
          <w:sz w:val="26"/>
        </w:rPr>
        <w:t xml:space="preserve"> Kết quả nghiên cứu, ứng dụng đề tài KHCN năm 2014</w:t>
      </w:r>
    </w:p>
    <w:tbl>
      <w:tblPr>
        <w:tblW w:w="9356"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1986"/>
        <w:gridCol w:w="850"/>
        <w:gridCol w:w="992"/>
        <w:gridCol w:w="851"/>
        <w:gridCol w:w="992"/>
        <w:gridCol w:w="851"/>
        <w:gridCol w:w="992"/>
        <w:gridCol w:w="850"/>
        <w:gridCol w:w="992"/>
      </w:tblGrid>
      <w:tr w:rsidR="00834F88" w:rsidRPr="00834F88" w:rsidTr="00922E24">
        <w:trPr>
          <w:trHeight w:val="380"/>
        </w:trPr>
        <w:tc>
          <w:tcPr>
            <w:tcW w:w="1986" w:type="dxa"/>
            <w:vMerge w:val="restart"/>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Chuyên ngành</w:t>
            </w:r>
          </w:p>
        </w:tc>
        <w:tc>
          <w:tcPr>
            <w:tcW w:w="1842" w:type="dxa"/>
            <w:gridSpan w:val="2"/>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Kinh phí</w:t>
            </w:r>
          </w:p>
        </w:tc>
        <w:tc>
          <w:tcPr>
            <w:tcW w:w="1843" w:type="dxa"/>
            <w:gridSpan w:val="2"/>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Số đề tài</w:t>
            </w:r>
          </w:p>
        </w:tc>
        <w:tc>
          <w:tcPr>
            <w:tcW w:w="1843" w:type="dxa"/>
            <w:gridSpan w:val="2"/>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Giá trị làm lợi</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F8001B" w:rsidP="00834F88">
            <w:pPr>
              <w:jc w:val="center"/>
              <w:rPr>
                <w:rFonts w:asciiTheme="minorHAnsi" w:hAnsiTheme="minorHAnsi" w:cstheme="minorHAnsi"/>
                <w:b/>
                <w:bCs/>
                <w:sz w:val="18"/>
                <w:szCs w:val="18"/>
              </w:rPr>
            </w:pPr>
            <w:r>
              <w:rPr>
                <w:rFonts w:asciiTheme="minorHAnsi" w:hAnsiTheme="minorHAnsi" w:cstheme="minorHAnsi"/>
                <w:b/>
                <w:bCs/>
                <w:sz w:val="18"/>
                <w:szCs w:val="18"/>
              </w:rPr>
              <w:t>Kinh phí bình quân</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Giá trị làm lợi bình quân</w:t>
            </w:r>
          </w:p>
        </w:tc>
      </w:tr>
      <w:tr w:rsidR="00FB79C1" w:rsidRPr="00834F88" w:rsidTr="00922E24">
        <w:trPr>
          <w:trHeight w:val="660"/>
        </w:trPr>
        <w:tc>
          <w:tcPr>
            <w:tcW w:w="1986" w:type="dxa"/>
            <w:vMerge/>
            <w:tcBorders>
              <w:top w:val="single" w:sz="8" w:space="0" w:color="000000"/>
              <w:left w:val="single" w:sz="8" w:space="0" w:color="000000"/>
              <w:bottom w:val="single" w:sz="8" w:space="0" w:color="000000"/>
              <w:right w:val="single" w:sz="8" w:space="0" w:color="000000"/>
            </w:tcBorders>
            <w:vAlign w:val="center"/>
            <w:hideMark/>
          </w:tcPr>
          <w:p w:rsidR="00834F88" w:rsidRPr="00F8001B" w:rsidRDefault="00834F88" w:rsidP="00834F88">
            <w:pPr>
              <w:rPr>
                <w:rFonts w:asciiTheme="minorHAnsi" w:hAnsiTheme="minorHAnsi" w:cstheme="minorHAnsi"/>
                <w:b/>
                <w:bCs/>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Số tiền</w:t>
            </w:r>
          </w:p>
        </w:tc>
        <w:tc>
          <w:tcPr>
            <w:tcW w:w="992"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Tỷ trọng</w:t>
            </w:r>
          </w:p>
        </w:tc>
        <w:tc>
          <w:tcPr>
            <w:tcW w:w="851"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Số lượng</w:t>
            </w:r>
          </w:p>
        </w:tc>
        <w:tc>
          <w:tcPr>
            <w:tcW w:w="992"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Tỷ trọng</w:t>
            </w:r>
          </w:p>
        </w:tc>
        <w:tc>
          <w:tcPr>
            <w:tcW w:w="851"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Số tiền</w:t>
            </w:r>
          </w:p>
        </w:tc>
        <w:tc>
          <w:tcPr>
            <w:tcW w:w="992"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Tỷ trọng</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834F88" w:rsidRPr="00F8001B" w:rsidRDefault="00834F88" w:rsidP="00834F88">
            <w:pPr>
              <w:rPr>
                <w:rFonts w:asciiTheme="minorHAnsi" w:hAnsiTheme="minorHAnsi" w:cstheme="minorHAnsi"/>
                <w:b/>
                <w:bCs/>
                <w:sz w:val="18"/>
                <w:szCs w:val="1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34F88" w:rsidRPr="00F8001B" w:rsidRDefault="00834F88" w:rsidP="00834F88">
            <w:pPr>
              <w:rPr>
                <w:rFonts w:asciiTheme="minorHAnsi" w:hAnsiTheme="minorHAnsi" w:cstheme="minorHAnsi"/>
                <w:b/>
                <w:bCs/>
                <w:sz w:val="18"/>
                <w:szCs w:val="18"/>
              </w:rPr>
            </w:pPr>
          </w:p>
        </w:tc>
      </w:tr>
      <w:tr w:rsidR="00834F88" w:rsidRPr="00834F88" w:rsidTr="00922E24">
        <w:trPr>
          <w:trHeight w:val="330"/>
        </w:trPr>
        <w:tc>
          <w:tcPr>
            <w:tcW w:w="1986" w:type="dxa"/>
            <w:tcBorders>
              <w:top w:val="single" w:sz="8" w:space="0" w:color="000000"/>
              <w:bottom w:val="single" w:sz="4" w:space="0" w:color="auto"/>
            </w:tcBorders>
            <w:shd w:val="clear" w:color="auto" w:fill="auto"/>
            <w:noWrap/>
            <w:vAlign w:val="center"/>
            <w:hideMark/>
          </w:tcPr>
          <w:p w:rsidR="00834F88" w:rsidRPr="00F8001B" w:rsidRDefault="00F8001B" w:rsidP="00834F88">
            <w:pPr>
              <w:rPr>
                <w:rFonts w:asciiTheme="minorHAnsi" w:hAnsiTheme="minorHAnsi" w:cstheme="minorHAnsi"/>
                <w:sz w:val="18"/>
                <w:szCs w:val="18"/>
              </w:rPr>
            </w:pPr>
            <w:r>
              <w:rPr>
                <w:rFonts w:asciiTheme="minorHAnsi" w:hAnsiTheme="minorHAnsi" w:cstheme="minorHAnsi"/>
                <w:sz w:val="18"/>
                <w:szCs w:val="18"/>
              </w:rPr>
              <w:t>Quản lý kinh tế</w:t>
            </w:r>
          </w:p>
        </w:tc>
        <w:tc>
          <w:tcPr>
            <w:tcW w:w="850" w:type="dxa"/>
            <w:tcBorders>
              <w:top w:val="single" w:sz="8" w:space="0" w:color="000000"/>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305.0   </w:t>
            </w:r>
          </w:p>
        </w:tc>
        <w:tc>
          <w:tcPr>
            <w:tcW w:w="992" w:type="dxa"/>
            <w:tcBorders>
              <w:top w:val="single" w:sz="8" w:space="0" w:color="000000"/>
              <w:bottom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4.60%</w:t>
            </w:r>
          </w:p>
        </w:tc>
        <w:tc>
          <w:tcPr>
            <w:tcW w:w="851" w:type="dxa"/>
            <w:tcBorders>
              <w:top w:val="single" w:sz="8" w:space="0" w:color="000000"/>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2</w:t>
            </w:r>
          </w:p>
        </w:tc>
        <w:tc>
          <w:tcPr>
            <w:tcW w:w="992" w:type="dxa"/>
            <w:tcBorders>
              <w:top w:val="single" w:sz="8" w:space="0" w:color="000000"/>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9.09%</w:t>
            </w:r>
          </w:p>
        </w:tc>
        <w:tc>
          <w:tcPr>
            <w:tcW w:w="851" w:type="dxa"/>
            <w:tcBorders>
              <w:top w:val="single" w:sz="8" w:space="0" w:color="000000"/>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30.0   </w:t>
            </w:r>
          </w:p>
        </w:tc>
        <w:tc>
          <w:tcPr>
            <w:tcW w:w="992" w:type="dxa"/>
            <w:tcBorders>
              <w:top w:val="single" w:sz="8" w:space="0" w:color="000000"/>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0.69%</w:t>
            </w:r>
          </w:p>
        </w:tc>
        <w:tc>
          <w:tcPr>
            <w:tcW w:w="850" w:type="dxa"/>
            <w:tcBorders>
              <w:top w:val="single" w:sz="8" w:space="0" w:color="000000"/>
              <w:bottom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152.50</w:t>
            </w:r>
          </w:p>
        </w:tc>
        <w:tc>
          <w:tcPr>
            <w:tcW w:w="992" w:type="dxa"/>
            <w:tcBorders>
              <w:top w:val="single" w:sz="8" w:space="0" w:color="000000"/>
              <w:bottom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sz w:val="18"/>
                <w:szCs w:val="18"/>
              </w:rPr>
            </w:pPr>
            <w:r w:rsidRPr="00F8001B">
              <w:rPr>
                <w:rFonts w:asciiTheme="minorHAnsi" w:hAnsiTheme="minorHAnsi" w:cstheme="minorHAnsi"/>
                <w:sz w:val="18"/>
                <w:szCs w:val="18"/>
              </w:rPr>
              <w:t>15.00</w:t>
            </w:r>
          </w:p>
        </w:tc>
      </w:tr>
      <w:tr w:rsidR="00834F88" w:rsidRPr="00834F88" w:rsidTr="00F8001B">
        <w:trPr>
          <w:trHeight w:val="330"/>
        </w:trPr>
        <w:tc>
          <w:tcPr>
            <w:tcW w:w="1986" w:type="dxa"/>
            <w:tcBorders>
              <w:top w:val="single" w:sz="4" w:space="0" w:color="auto"/>
              <w:bottom w:val="single" w:sz="4" w:space="0" w:color="auto"/>
            </w:tcBorders>
            <w:shd w:val="clear" w:color="auto" w:fill="auto"/>
            <w:noWrap/>
            <w:vAlign w:val="center"/>
            <w:hideMark/>
          </w:tcPr>
          <w:p w:rsidR="00834F88" w:rsidRPr="00F8001B" w:rsidRDefault="00F8001B" w:rsidP="00834F88">
            <w:pPr>
              <w:rPr>
                <w:rFonts w:asciiTheme="minorHAnsi" w:hAnsiTheme="minorHAnsi" w:cstheme="minorHAnsi"/>
                <w:sz w:val="18"/>
                <w:szCs w:val="18"/>
              </w:rPr>
            </w:pPr>
            <w:r>
              <w:rPr>
                <w:rFonts w:asciiTheme="minorHAnsi" w:hAnsiTheme="minorHAnsi" w:cstheme="minorHAnsi"/>
                <w:sz w:val="18"/>
                <w:szCs w:val="18"/>
              </w:rPr>
              <w:t>Công nghệ thông tin</w:t>
            </w:r>
          </w:p>
        </w:tc>
        <w:tc>
          <w:tcPr>
            <w:tcW w:w="850"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1,471.0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22.17%</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5</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22.73%</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50.0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1.14%</w:t>
            </w:r>
          </w:p>
        </w:tc>
        <w:tc>
          <w:tcPr>
            <w:tcW w:w="850" w:type="dxa"/>
            <w:tcBorders>
              <w:top w:val="single" w:sz="4" w:space="0" w:color="auto"/>
              <w:bottom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294.20</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sz w:val="18"/>
                <w:szCs w:val="18"/>
              </w:rPr>
            </w:pPr>
            <w:r w:rsidRPr="00F8001B">
              <w:rPr>
                <w:rFonts w:asciiTheme="minorHAnsi" w:hAnsiTheme="minorHAnsi" w:cstheme="minorHAnsi"/>
                <w:sz w:val="18"/>
                <w:szCs w:val="18"/>
              </w:rPr>
              <w:t>10.00</w:t>
            </w:r>
          </w:p>
        </w:tc>
      </w:tr>
      <w:tr w:rsidR="00834F88" w:rsidRPr="00834F88" w:rsidTr="00F8001B">
        <w:trPr>
          <w:trHeight w:val="330"/>
        </w:trPr>
        <w:tc>
          <w:tcPr>
            <w:tcW w:w="1986" w:type="dxa"/>
            <w:tcBorders>
              <w:top w:val="single" w:sz="4" w:space="0" w:color="auto"/>
              <w:bottom w:val="single" w:sz="4" w:space="0" w:color="auto"/>
            </w:tcBorders>
            <w:shd w:val="clear" w:color="auto" w:fill="auto"/>
            <w:noWrap/>
            <w:vAlign w:val="center"/>
            <w:hideMark/>
          </w:tcPr>
          <w:p w:rsidR="00834F88" w:rsidRPr="00F8001B" w:rsidRDefault="00F8001B" w:rsidP="00834F88">
            <w:pPr>
              <w:rPr>
                <w:rFonts w:asciiTheme="minorHAnsi" w:hAnsiTheme="minorHAnsi" w:cstheme="minorHAnsi"/>
                <w:sz w:val="18"/>
                <w:szCs w:val="18"/>
              </w:rPr>
            </w:pPr>
            <w:r>
              <w:rPr>
                <w:rFonts w:asciiTheme="minorHAnsi" w:hAnsiTheme="minorHAnsi" w:cstheme="minorHAnsi"/>
                <w:sz w:val="18"/>
                <w:szCs w:val="18"/>
              </w:rPr>
              <w:t>Vận tải</w:t>
            </w:r>
          </w:p>
        </w:tc>
        <w:tc>
          <w:tcPr>
            <w:tcW w:w="850"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250.0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3.77%</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1</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4.55%</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 -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0.00%</w:t>
            </w:r>
          </w:p>
        </w:tc>
        <w:tc>
          <w:tcPr>
            <w:tcW w:w="850" w:type="dxa"/>
            <w:tcBorders>
              <w:top w:val="single" w:sz="4" w:space="0" w:color="auto"/>
              <w:bottom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250.00</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sz w:val="18"/>
                <w:szCs w:val="18"/>
              </w:rPr>
            </w:pPr>
            <w:r w:rsidRPr="00F8001B">
              <w:rPr>
                <w:rFonts w:asciiTheme="minorHAnsi" w:hAnsiTheme="minorHAnsi" w:cstheme="minorHAnsi"/>
                <w:sz w:val="18"/>
                <w:szCs w:val="18"/>
              </w:rPr>
              <w:t>-</w:t>
            </w:r>
          </w:p>
        </w:tc>
      </w:tr>
      <w:tr w:rsidR="00834F88" w:rsidRPr="00834F88" w:rsidTr="00F8001B">
        <w:trPr>
          <w:trHeight w:val="330"/>
        </w:trPr>
        <w:tc>
          <w:tcPr>
            <w:tcW w:w="1986" w:type="dxa"/>
            <w:tcBorders>
              <w:top w:val="single" w:sz="4" w:space="0" w:color="auto"/>
              <w:bottom w:val="single" w:sz="4" w:space="0" w:color="auto"/>
            </w:tcBorders>
            <w:shd w:val="clear" w:color="auto" w:fill="auto"/>
            <w:noWrap/>
            <w:vAlign w:val="center"/>
            <w:hideMark/>
          </w:tcPr>
          <w:p w:rsidR="00834F88" w:rsidRPr="00F8001B" w:rsidRDefault="00F8001B" w:rsidP="00FB79C1">
            <w:pPr>
              <w:rPr>
                <w:rFonts w:asciiTheme="minorHAnsi" w:hAnsiTheme="minorHAnsi" w:cstheme="minorHAnsi"/>
                <w:sz w:val="18"/>
                <w:szCs w:val="18"/>
              </w:rPr>
            </w:pPr>
            <w:r>
              <w:rPr>
                <w:rFonts w:asciiTheme="minorHAnsi" w:hAnsiTheme="minorHAnsi" w:cstheme="minorHAnsi"/>
                <w:sz w:val="18"/>
                <w:szCs w:val="18"/>
              </w:rPr>
              <w:t>Đầu máy Toa xe</w:t>
            </w:r>
          </w:p>
        </w:tc>
        <w:tc>
          <w:tcPr>
            <w:tcW w:w="850"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120.0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1.81%</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2</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9.09%</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157.0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3.59%</w:t>
            </w:r>
          </w:p>
        </w:tc>
        <w:tc>
          <w:tcPr>
            <w:tcW w:w="850" w:type="dxa"/>
            <w:tcBorders>
              <w:top w:val="single" w:sz="4" w:space="0" w:color="auto"/>
              <w:bottom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60.00</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sz w:val="18"/>
                <w:szCs w:val="18"/>
              </w:rPr>
            </w:pPr>
            <w:r w:rsidRPr="00F8001B">
              <w:rPr>
                <w:rFonts w:asciiTheme="minorHAnsi" w:hAnsiTheme="minorHAnsi" w:cstheme="minorHAnsi"/>
                <w:sz w:val="18"/>
                <w:szCs w:val="18"/>
              </w:rPr>
              <w:t>78.50</w:t>
            </w:r>
          </w:p>
        </w:tc>
      </w:tr>
      <w:tr w:rsidR="00834F88" w:rsidRPr="00834F88" w:rsidTr="00F8001B">
        <w:trPr>
          <w:trHeight w:val="330"/>
        </w:trPr>
        <w:tc>
          <w:tcPr>
            <w:tcW w:w="1986" w:type="dxa"/>
            <w:tcBorders>
              <w:top w:val="single" w:sz="4" w:space="0" w:color="auto"/>
              <w:bottom w:val="single" w:sz="4" w:space="0" w:color="auto"/>
            </w:tcBorders>
            <w:shd w:val="clear" w:color="auto" w:fill="auto"/>
            <w:noWrap/>
            <w:vAlign w:val="center"/>
            <w:hideMark/>
          </w:tcPr>
          <w:p w:rsidR="00834F88" w:rsidRPr="00F8001B" w:rsidRDefault="00F8001B" w:rsidP="00834F88">
            <w:pPr>
              <w:rPr>
                <w:rFonts w:asciiTheme="minorHAnsi" w:hAnsiTheme="minorHAnsi" w:cstheme="minorHAnsi"/>
                <w:sz w:val="18"/>
                <w:szCs w:val="18"/>
              </w:rPr>
            </w:pPr>
            <w:r>
              <w:rPr>
                <w:rFonts w:asciiTheme="minorHAnsi" w:hAnsiTheme="minorHAnsi" w:cstheme="minorHAnsi"/>
                <w:sz w:val="18"/>
                <w:szCs w:val="18"/>
              </w:rPr>
              <w:t>Thông tin tín hiệu</w:t>
            </w:r>
          </w:p>
        </w:tc>
        <w:tc>
          <w:tcPr>
            <w:tcW w:w="850"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150.0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2.26%</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1</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4.55%</w:t>
            </w:r>
          </w:p>
        </w:tc>
        <w:tc>
          <w:tcPr>
            <w:tcW w:w="851" w:type="dxa"/>
            <w:tcBorders>
              <w:top w:val="single"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sz w:val="18"/>
                <w:szCs w:val="18"/>
              </w:rPr>
            </w:pPr>
            <w:r w:rsidRPr="00F8001B">
              <w:rPr>
                <w:rFonts w:asciiTheme="minorHAnsi" w:hAnsiTheme="minorHAnsi" w:cstheme="minorHAnsi"/>
                <w:sz w:val="18"/>
                <w:szCs w:val="18"/>
              </w:rPr>
              <w:t xml:space="preserve">693.0   </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sz w:val="18"/>
                <w:szCs w:val="18"/>
              </w:rPr>
            </w:pPr>
            <w:r w:rsidRPr="00F8001B">
              <w:rPr>
                <w:rFonts w:asciiTheme="minorHAnsi" w:hAnsiTheme="minorHAnsi" w:cstheme="minorHAnsi"/>
                <w:sz w:val="18"/>
                <w:szCs w:val="18"/>
              </w:rPr>
              <w:t>15.83%</w:t>
            </w:r>
          </w:p>
        </w:tc>
        <w:tc>
          <w:tcPr>
            <w:tcW w:w="850" w:type="dxa"/>
            <w:tcBorders>
              <w:top w:val="single" w:sz="4" w:space="0" w:color="auto"/>
              <w:bottom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sz w:val="18"/>
                <w:szCs w:val="18"/>
              </w:rPr>
            </w:pPr>
            <w:r w:rsidRPr="00F8001B">
              <w:rPr>
                <w:rFonts w:asciiTheme="minorHAnsi" w:hAnsiTheme="minorHAnsi" w:cstheme="minorHAnsi"/>
                <w:sz w:val="18"/>
                <w:szCs w:val="18"/>
              </w:rPr>
              <w:t>150.00</w:t>
            </w:r>
          </w:p>
        </w:tc>
        <w:tc>
          <w:tcPr>
            <w:tcW w:w="992" w:type="dxa"/>
            <w:tcBorders>
              <w:top w:val="single" w:sz="4" w:space="0" w:color="auto"/>
              <w:bottom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sz w:val="18"/>
                <w:szCs w:val="18"/>
              </w:rPr>
            </w:pPr>
            <w:r w:rsidRPr="00F8001B">
              <w:rPr>
                <w:rFonts w:asciiTheme="minorHAnsi" w:hAnsiTheme="minorHAnsi" w:cstheme="minorHAnsi"/>
                <w:sz w:val="18"/>
                <w:szCs w:val="18"/>
              </w:rPr>
              <w:t>693.00</w:t>
            </w:r>
          </w:p>
        </w:tc>
      </w:tr>
      <w:tr w:rsidR="00834F88" w:rsidRPr="00834F88" w:rsidTr="00F8001B">
        <w:trPr>
          <w:trHeight w:val="330"/>
        </w:trPr>
        <w:tc>
          <w:tcPr>
            <w:tcW w:w="1986" w:type="dxa"/>
            <w:tcBorders>
              <w:top w:val="single" w:sz="4" w:space="0" w:color="auto"/>
            </w:tcBorders>
            <w:shd w:val="clear" w:color="auto" w:fill="auto"/>
            <w:noWrap/>
            <w:vAlign w:val="center"/>
            <w:hideMark/>
          </w:tcPr>
          <w:p w:rsidR="00834F88" w:rsidRPr="00F8001B" w:rsidRDefault="00643B40" w:rsidP="00834F88">
            <w:pPr>
              <w:rPr>
                <w:rFonts w:asciiTheme="minorHAnsi" w:hAnsiTheme="minorHAnsi" w:cstheme="minorHAnsi"/>
                <w:bCs/>
                <w:sz w:val="18"/>
                <w:szCs w:val="18"/>
              </w:rPr>
            </w:pPr>
            <w:r w:rsidRPr="00F8001B">
              <w:rPr>
                <w:rFonts w:asciiTheme="minorHAnsi" w:hAnsiTheme="minorHAnsi" w:cstheme="minorHAnsi"/>
                <w:bCs/>
                <w:sz w:val="18"/>
                <w:szCs w:val="18"/>
              </w:rPr>
              <w:t>Nghiên cứu chế thử</w:t>
            </w:r>
          </w:p>
        </w:tc>
        <w:tc>
          <w:tcPr>
            <w:tcW w:w="850" w:type="dxa"/>
            <w:tcBorders>
              <w:top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b/>
                <w:bCs/>
                <w:sz w:val="18"/>
                <w:szCs w:val="18"/>
              </w:rPr>
            </w:pPr>
            <w:r w:rsidRPr="00F8001B">
              <w:rPr>
                <w:rFonts w:asciiTheme="minorHAnsi" w:hAnsiTheme="minorHAnsi" w:cstheme="minorHAnsi"/>
                <w:b/>
                <w:bCs/>
                <w:sz w:val="18"/>
                <w:szCs w:val="18"/>
              </w:rPr>
              <w:t xml:space="preserve">4,339.0   </w:t>
            </w:r>
          </w:p>
        </w:tc>
        <w:tc>
          <w:tcPr>
            <w:tcW w:w="992" w:type="dxa"/>
            <w:tcBorders>
              <w:top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b/>
                <w:bCs/>
                <w:sz w:val="18"/>
                <w:szCs w:val="18"/>
              </w:rPr>
            </w:pPr>
            <w:r w:rsidRPr="00F8001B">
              <w:rPr>
                <w:rFonts w:asciiTheme="minorHAnsi" w:hAnsiTheme="minorHAnsi" w:cstheme="minorHAnsi"/>
                <w:b/>
                <w:bCs/>
                <w:sz w:val="18"/>
                <w:szCs w:val="18"/>
              </w:rPr>
              <w:t>65.40%</w:t>
            </w:r>
          </w:p>
        </w:tc>
        <w:tc>
          <w:tcPr>
            <w:tcW w:w="851" w:type="dxa"/>
            <w:tcBorders>
              <w:top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11</w:t>
            </w:r>
          </w:p>
        </w:tc>
        <w:tc>
          <w:tcPr>
            <w:tcW w:w="992" w:type="dxa"/>
            <w:tcBorders>
              <w:top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b/>
                <w:sz w:val="18"/>
                <w:szCs w:val="18"/>
              </w:rPr>
            </w:pPr>
            <w:r w:rsidRPr="00F8001B">
              <w:rPr>
                <w:rFonts w:asciiTheme="minorHAnsi" w:hAnsiTheme="minorHAnsi" w:cstheme="minorHAnsi"/>
                <w:b/>
                <w:sz w:val="18"/>
                <w:szCs w:val="18"/>
              </w:rPr>
              <w:t>50.00%</w:t>
            </w:r>
          </w:p>
        </w:tc>
        <w:tc>
          <w:tcPr>
            <w:tcW w:w="851" w:type="dxa"/>
            <w:tcBorders>
              <w:top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b/>
                <w:bCs/>
                <w:sz w:val="18"/>
                <w:szCs w:val="18"/>
              </w:rPr>
            </w:pPr>
            <w:r w:rsidRPr="00F8001B">
              <w:rPr>
                <w:rFonts w:asciiTheme="minorHAnsi" w:hAnsiTheme="minorHAnsi" w:cstheme="minorHAnsi"/>
                <w:b/>
                <w:bCs/>
                <w:sz w:val="18"/>
                <w:szCs w:val="18"/>
              </w:rPr>
              <w:t xml:space="preserve">3,448.4   </w:t>
            </w:r>
          </w:p>
        </w:tc>
        <w:tc>
          <w:tcPr>
            <w:tcW w:w="992" w:type="dxa"/>
            <w:tcBorders>
              <w:top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b/>
                <w:sz w:val="18"/>
                <w:szCs w:val="18"/>
              </w:rPr>
            </w:pPr>
            <w:r w:rsidRPr="00F8001B">
              <w:rPr>
                <w:rFonts w:asciiTheme="minorHAnsi" w:hAnsiTheme="minorHAnsi" w:cstheme="minorHAnsi"/>
                <w:b/>
                <w:sz w:val="18"/>
                <w:szCs w:val="18"/>
              </w:rPr>
              <w:t>78.76%</w:t>
            </w:r>
          </w:p>
        </w:tc>
        <w:tc>
          <w:tcPr>
            <w:tcW w:w="850" w:type="dxa"/>
            <w:tcBorders>
              <w:top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b/>
                <w:bCs/>
                <w:sz w:val="18"/>
                <w:szCs w:val="18"/>
              </w:rPr>
            </w:pPr>
            <w:r w:rsidRPr="00F8001B">
              <w:rPr>
                <w:rFonts w:asciiTheme="minorHAnsi" w:hAnsiTheme="minorHAnsi" w:cstheme="minorHAnsi"/>
                <w:b/>
                <w:bCs/>
                <w:sz w:val="18"/>
                <w:szCs w:val="18"/>
              </w:rPr>
              <w:t>394.45</w:t>
            </w:r>
          </w:p>
        </w:tc>
        <w:tc>
          <w:tcPr>
            <w:tcW w:w="992" w:type="dxa"/>
            <w:tcBorders>
              <w:top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b/>
                <w:bCs/>
                <w:sz w:val="18"/>
                <w:szCs w:val="18"/>
              </w:rPr>
            </w:pPr>
            <w:r w:rsidRPr="00F8001B">
              <w:rPr>
                <w:rFonts w:asciiTheme="minorHAnsi" w:hAnsiTheme="minorHAnsi" w:cstheme="minorHAnsi"/>
                <w:b/>
                <w:bCs/>
                <w:sz w:val="18"/>
                <w:szCs w:val="18"/>
              </w:rPr>
              <w:t>313.49</w:t>
            </w:r>
          </w:p>
        </w:tc>
      </w:tr>
      <w:tr w:rsidR="00834F88" w:rsidRPr="00834F88" w:rsidTr="00F8001B">
        <w:trPr>
          <w:trHeight w:val="330"/>
        </w:trPr>
        <w:tc>
          <w:tcPr>
            <w:tcW w:w="1986" w:type="dxa"/>
            <w:shd w:val="clear" w:color="auto" w:fill="auto"/>
            <w:noWrap/>
            <w:vAlign w:val="center"/>
            <w:hideMark/>
          </w:tcPr>
          <w:p w:rsidR="00834F88" w:rsidRPr="00F8001B" w:rsidRDefault="00834F88" w:rsidP="00FB79C1">
            <w:pPr>
              <w:rPr>
                <w:rFonts w:asciiTheme="minorHAnsi" w:hAnsiTheme="minorHAnsi" w:cstheme="minorHAnsi"/>
                <w:i/>
                <w:sz w:val="18"/>
                <w:szCs w:val="18"/>
              </w:rPr>
            </w:pPr>
            <w:r w:rsidRPr="00F8001B">
              <w:rPr>
                <w:rFonts w:asciiTheme="minorHAnsi" w:hAnsiTheme="minorHAnsi" w:cstheme="minorHAnsi"/>
                <w:i/>
                <w:sz w:val="18"/>
                <w:szCs w:val="18"/>
              </w:rPr>
              <w:lastRenderedPageBreak/>
              <w:t>- NCCT</w:t>
            </w:r>
            <w:r w:rsidR="00643B40" w:rsidRPr="00F8001B">
              <w:rPr>
                <w:rFonts w:asciiTheme="minorHAnsi" w:hAnsiTheme="minorHAnsi" w:cstheme="minorHAnsi"/>
                <w:i/>
                <w:sz w:val="18"/>
                <w:szCs w:val="18"/>
              </w:rPr>
              <w:t xml:space="preserve"> </w:t>
            </w:r>
            <w:r w:rsidR="00FB79C1" w:rsidRPr="00F8001B">
              <w:rPr>
                <w:rFonts w:asciiTheme="minorHAnsi" w:hAnsiTheme="minorHAnsi" w:cstheme="minorHAnsi"/>
                <w:i/>
                <w:sz w:val="18"/>
                <w:szCs w:val="18"/>
              </w:rPr>
              <w:t>Công trình</w:t>
            </w:r>
          </w:p>
        </w:tc>
        <w:tc>
          <w:tcPr>
            <w:tcW w:w="850" w:type="dxa"/>
            <w:shd w:val="clear" w:color="auto" w:fill="auto"/>
            <w:noWrap/>
            <w:vAlign w:val="center"/>
            <w:hideMark/>
          </w:tcPr>
          <w:p w:rsidR="00834F88" w:rsidRPr="00F8001B" w:rsidRDefault="00834F88" w:rsidP="00834F88">
            <w:pPr>
              <w:jc w:val="right"/>
              <w:rPr>
                <w:rFonts w:asciiTheme="minorHAnsi" w:hAnsiTheme="minorHAnsi" w:cstheme="minorHAnsi"/>
                <w:i/>
                <w:sz w:val="18"/>
                <w:szCs w:val="18"/>
              </w:rPr>
            </w:pPr>
            <w:r w:rsidRPr="00F8001B">
              <w:rPr>
                <w:rFonts w:asciiTheme="minorHAnsi" w:hAnsiTheme="minorHAnsi" w:cstheme="minorHAnsi"/>
                <w:i/>
                <w:sz w:val="18"/>
                <w:szCs w:val="18"/>
              </w:rPr>
              <w:t xml:space="preserve">1,323.0   </w:t>
            </w:r>
          </w:p>
        </w:tc>
        <w:tc>
          <w:tcPr>
            <w:tcW w:w="992" w:type="dxa"/>
            <w:shd w:val="clear" w:color="auto" w:fill="auto"/>
            <w:noWrap/>
            <w:vAlign w:val="center"/>
            <w:hideMark/>
          </w:tcPr>
          <w:p w:rsidR="00834F88" w:rsidRPr="00F8001B" w:rsidRDefault="00834F88" w:rsidP="00643B40">
            <w:pPr>
              <w:jc w:val="center"/>
              <w:rPr>
                <w:rFonts w:asciiTheme="minorHAnsi" w:hAnsiTheme="minorHAnsi" w:cstheme="minorHAnsi"/>
                <w:i/>
                <w:sz w:val="18"/>
                <w:szCs w:val="18"/>
              </w:rPr>
            </w:pPr>
            <w:r w:rsidRPr="00F8001B">
              <w:rPr>
                <w:rFonts w:asciiTheme="minorHAnsi" w:hAnsiTheme="minorHAnsi" w:cstheme="minorHAnsi"/>
                <w:i/>
                <w:sz w:val="18"/>
                <w:szCs w:val="18"/>
              </w:rPr>
              <w:t>19.94%</w:t>
            </w:r>
          </w:p>
        </w:tc>
        <w:tc>
          <w:tcPr>
            <w:tcW w:w="851" w:type="dxa"/>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3</w:t>
            </w:r>
          </w:p>
        </w:tc>
        <w:tc>
          <w:tcPr>
            <w:tcW w:w="992" w:type="dxa"/>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13.64%</w:t>
            </w:r>
          </w:p>
        </w:tc>
        <w:tc>
          <w:tcPr>
            <w:tcW w:w="851" w:type="dxa"/>
            <w:shd w:val="clear" w:color="auto" w:fill="auto"/>
            <w:noWrap/>
            <w:vAlign w:val="center"/>
            <w:hideMark/>
          </w:tcPr>
          <w:p w:rsidR="00834F88" w:rsidRPr="00F8001B" w:rsidRDefault="00834F88" w:rsidP="00834F88">
            <w:pPr>
              <w:jc w:val="right"/>
              <w:rPr>
                <w:rFonts w:asciiTheme="minorHAnsi" w:hAnsiTheme="minorHAnsi" w:cstheme="minorHAnsi"/>
                <w:i/>
                <w:sz w:val="18"/>
                <w:szCs w:val="18"/>
              </w:rPr>
            </w:pPr>
            <w:r w:rsidRPr="00F8001B">
              <w:rPr>
                <w:rFonts w:asciiTheme="minorHAnsi" w:hAnsiTheme="minorHAnsi" w:cstheme="minorHAnsi"/>
                <w:i/>
                <w:sz w:val="18"/>
                <w:szCs w:val="18"/>
              </w:rPr>
              <w:t xml:space="preserve">141.4   </w:t>
            </w:r>
          </w:p>
        </w:tc>
        <w:tc>
          <w:tcPr>
            <w:tcW w:w="992" w:type="dxa"/>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3.23%</w:t>
            </w:r>
          </w:p>
        </w:tc>
        <w:tc>
          <w:tcPr>
            <w:tcW w:w="850" w:type="dxa"/>
            <w:shd w:val="clear" w:color="auto" w:fill="auto"/>
            <w:vAlign w:val="center"/>
            <w:hideMark/>
          </w:tcPr>
          <w:p w:rsidR="00834F88" w:rsidRPr="00F8001B" w:rsidRDefault="00834F88" w:rsidP="00643B40">
            <w:pPr>
              <w:jc w:val="center"/>
              <w:rPr>
                <w:rFonts w:asciiTheme="minorHAnsi" w:hAnsiTheme="minorHAnsi" w:cstheme="minorHAnsi"/>
                <w:i/>
                <w:sz w:val="18"/>
                <w:szCs w:val="18"/>
              </w:rPr>
            </w:pPr>
            <w:r w:rsidRPr="00F8001B">
              <w:rPr>
                <w:rFonts w:asciiTheme="minorHAnsi" w:hAnsiTheme="minorHAnsi" w:cstheme="minorHAnsi"/>
                <w:i/>
                <w:sz w:val="18"/>
                <w:szCs w:val="18"/>
              </w:rPr>
              <w:t>441.00</w:t>
            </w:r>
          </w:p>
        </w:tc>
        <w:tc>
          <w:tcPr>
            <w:tcW w:w="992" w:type="dxa"/>
            <w:shd w:val="clear" w:color="auto" w:fill="auto"/>
            <w:noWrap/>
            <w:vAlign w:val="center"/>
            <w:hideMark/>
          </w:tcPr>
          <w:p w:rsidR="00834F88" w:rsidRPr="00F8001B" w:rsidRDefault="00834F88" w:rsidP="00FB79C1">
            <w:pPr>
              <w:jc w:val="center"/>
              <w:rPr>
                <w:rFonts w:asciiTheme="minorHAnsi" w:hAnsiTheme="minorHAnsi" w:cstheme="minorHAnsi"/>
                <w:i/>
                <w:sz w:val="18"/>
                <w:szCs w:val="18"/>
              </w:rPr>
            </w:pPr>
            <w:r w:rsidRPr="00F8001B">
              <w:rPr>
                <w:rFonts w:asciiTheme="minorHAnsi" w:hAnsiTheme="minorHAnsi" w:cstheme="minorHAnsi"/>
                <w:i/>
                <w:sz w:val="18"/>
                <w:szCs w:val="18"/>
              </w:rPr>
              <w:t>47.13</w:t>
            </w:r>
          </w:p>
        </w:tc>
      </w:tr>
      <w:tr w:rsidR="00834F88" w:rsidRPr="00834F88" w:rsidTr="00F8001B">
        <w:trPr>
          <w:trHeight w:val="330"/>
        </w:trPr>
        <w:tc>
          <w:tcPr>
            <w:tcW w:w="1986" w:type="dxa"/>
            <w:tcBorders>
              <w:bottom w:val="dotted" w:sz="4" w:space="0" w:color="auto"/>
            </w:tcBorders>
            <w:shd w:val="clear" w:color="auto" w:fill="auto"/>
            <w:noWrap/>
            <w:vAlign w:val="center"/>
            <w:hideMark/>
          </w:tcPr>
          <w:p w:rsidR="00834F88" w:rsidRPr="00F8001B" w:rsidRDefault="00834F88" w:rsidP="00FB79C1">
            <w:pPr>
              <w:rPr>
                <w:rFonts w:asciiTheme="minorHAnsi" w:hAnsiTheme="minorHAnsi" w:cstheme="minorHAnsi"/>
                <w:i/>
                <w:sz w:val="18"/>
                <w:szCs w:val="18"/>
              </w:rPr>
            </w:pPr>
            <w:r w:rsidRPr="00F8001B">
              <w:rPr>
                <w:rFonts w:asciiTheme="minorHAnsi" w:hAnsiTheme="minorHAnsi" w:cstheme="minorHAnsi"/>
                <w:i/>
                <w:sz w:val="18"/>
                <w:szCs w:val="18"/>
              </w:rPr>
              <w:t>- NCCT</w:t>
            </w:r>
            <w:r w:rsidR="00643B40" w:rsidRPr="00F8001B">
              <w:rPr>
                <w:rFonts w:asciiTheme="minorHAnsi" w:hAnsiTheme="minorHAnsi" w:cstheme="minorHAnsi"/>
                <w:i/>
                <w:sz w:val="18"/>
                <w:szCs w:val="18"/>
              </w:rPr>
              <w:t xml:space="preserve"> </w:t>
            </w:r>
            <w:r w:rsidRPr="00F8001B">
              <w:rPr>
                <w:rFonts w:asciiTheme="minorHAnsi" w:hAnsiTheme="minorHAnsi" w:cstheme="minorHAnsi"/>
                <w:i/>
                <w:sz w:val="18"/>
                <w:szCs w:val="18"/>
              </w:rPr>
              <w:t>TTTH</w:t>
            </w:r>
          </w:p>
        </w:tc>
        <w:tc>
          <w:tcPr>
            <w:tcW w:w="850" w:type="dxa"/>
            <w:tcBorders>
              <w:bottom w:val="dotted"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i/>
                <w:sz w:val="18"/>
                <w:szCs w:val="18"/>
              </w:rPr>
            </w:pPr>
            <w:r w:rsidRPr="00F8001B">
              <w:rPr>
                <w:rFonts w:asciiTheme="minorHAnsi" w:hAnsiTheme="minorHAnsi" w:cstheme="minorHAnsi"/>
                <w:i/>
                <w:sz w:val="18"/>
                <w:szCs w:val="18"/>
              </w:rPr>
              <w:t xml:space="preserve">588.0   </w:t>
            </w:r>
          </w:p>
        </w:tc>
        <w:tc>
          <w:tcPr>
            <w:tcW w:w="992" w:type="dxa"/>
            <w:tcBorders>
              <w:bottom w:val="dotted"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i/>
                <w:sz w:val="18"/>
                <w:szCs w:val="18"/>
              </w:rPr>
            </w:pPr>
            <w:r w:rsidRPr="00F8001B">
              <w:rPr>
                <w:rFonts w:asciiTheme="minorHAnsi" w:hAnsiTheme="minorHAnsi" w:cstheme="minorHAnsi"/>
                <w:i/>
                <w:sz w:val="18"/>
                <w:szCs w:val="18"/>
              </w:rPr>
              <w:t>8.86%</w:t>
            </w:r>
          </w:p>
        </w:tc>
        <w:tc>
          <w:tcPr>
            <w:tcW w:w="851" w:type="dxa"/>
            <w:tcBorders>
              <w:bottom w:val="dotted"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2</w:t>
            </w:r>
          </w:p>
        </w:tc>
        <w:tc>
          <w:tcPr>
            <w:tcW w:w="992" w:type="dxa"/>
            <w:tcBorders>
              <w:bottom w:val="dotted"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9.09%</w:t>
            </w:r>
          </w:p>
        </w:tc>
        <w:tc>
          <w:tcPr>
            <w:tcW w:w="851" w:type="dxa"/>
            <w:tcBorders>
              <w:bottom w:val="dotted"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i/>
                <w:sz w:val="18"/>
                <w:szCs w:val="18"/>
              </w:rPr>
            </w:pPr>
            <w:r w:rsidRPr="00F8001B">
              <w:rPr>
                <w:rFonts w:asciiTheme="minorHAnsi" w:hAnsiTheme="minorHAnsi" w:cstheme="minorHAnsi"/>
                <w:i/>
                <w:sz w:val="18"/>
                <w:szCs w:val="18"/>
              </w:rPr>
              <w:t xml:space="preserve">944.0   </w:t>
            </w:r>
          </w:p>
        </w:tc>
        <w:tc>
          <w:tcPr>
            <w:tcW w:w="992" w:type="dxa"/>
            <w:tcBorders>
              <w:bottom w:val="dotted"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21.56%</w:t>
            </w:r>
          </w:p>
        </w:tc>
        <w:tc>
          <w:tcPr>
            <w:tcW w:w="850" w:type="dxa"/>
            <w:tcBorders>
              <w:bottom w:val="dotted" w:sz="4" w:space="0" w:color="auto"/>
            </w:tcBorders>
            <w:shd w:val="clear" w:color="auto" w:fill="auto"/>
            <w:vAlign w:val="center"/>
            <w:hideMark/>
          </w:tcPr>
          <w:p w:rsidR="00834F88" w:rsidRPr="00F8001B" w:rsidRDefault="00834F88" w:rsidP="00643B40">
            <w:pPr>
              <w:jc w:val="center"/>
              <w:rPr>
                <w:rFonts w:asciiTheme="minorHAnsi" w:hAnsiTheme="minorHAnsi" w:cstheme="minorHAnsi"/>
                <w:i/>
                <w:sz w:val="18"/>
                <w:szCs w:val="18"/>
              </w:rPr>
            </w:pPr>
            <w:r w:rsidRPr="00F8001B">
              <w:rPr>
                <w:rFonts w:asciiTheme="minorHAnsi" w:hAnsiTheme="minorHAnsi" w:cstheme="minorHAnsi"/>
                <w:i/>
                <w:sz w:val="18"/>
                <w:szCs w:val="18"/>
              </w:rPr>
              <w:t>294.00</w:t>
            </w:r>
          </w:p>
        </w:tc>
        <w:tc>
          <w:tcPr>
            <w:tcW w:w="992" w:type="dxa"/>
            <w:tcBorders>
              <w:bottom w:val="dotted"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i/>
                <w:sz w:val="18"/>
                <w:szCs w:val="18"/>
              </w:rPr>
            </w:pPr>
            <w:r w:rsidRPr="00F8001B">
              <w:rPr>
                <w:rFonts w:asciiTheme="minorHAnsi" w:hAnsiTheme="minorHAnsi" w:cstheme="minorHAnsi"/>
                <w:i/>
                <w:sz w:val="18"/>
                <w:szCs w:val="18"/>
              </w:rPr>
              <w:t>472.00</w:t>
            </w:r>
          </w:p>
        </w:tc>
      </w:tr>
      <w:tr w:rsidR="00834F88" w:rsidRPr="00834F88" w:rsidTr="00F8001B">
        <w:trPr>
          <w:trHeight w:val="330"/>
        </w:trPr>
        <w:tc>
          <w:tcPr>
            <w:tcW w:w="1986" w:type="dxa"/>
            <w:tcBorders>
              <w:top w:val="dotted" w:sz="4" w:space="0" w:color="auto"/>
              <w:bottom w:val="single" w:sz="4" w:space="0" w:color="auto"/>
            </w:tcBorders>
            <w:shd w:val="clear" w:color="auto" w:fill="auto"/>
            <w:noWrap/>
            <w:vAlign w:val="center"/>
            <w:hideMark/>
          </w:tcPr>
          <w:p w:rsidR="00834F88" w:rsidRPr="00F8001B" w:rsidRDefault="00834F88" w:rsidP="00FB79C1">
            <w:pPr>
              <w:rPr>
                <w:rFonts w:asciiTheme="minorHAnsi" w:hAnsiTheme="minorHAnsi" w:cstheme="minorHAnsi"/>
                <w:i/>
                <w:sz w:val="18"/>
                <w:szCs w:val="18"/>
              </w:rPr>
            </w:pPr>
            <w:r w:rsidRPr="00F8001B">
              <w:rPr>
                <w:rFonts w:asciiTheme="minorHAnsi" w:hAnsiTheme="minorHAnsi" w:cstheme="minorHAnsi"/>
                <w:i/>
                <w:sz w:val="18"/>
                <w:szCs w:val="18"/>
              </w:rPr>
              <w:t>- NCCT</w:t>
            </w:r>
            <w:r w:rsidR="00643B40" w:rsidRPr="00F8001B">
              <w:rPr>
                <w:rFonts w:asciiTheme="minorHAnsi" w:hAnsiTheme="minorHAnsi" w:cstheme="minorHAnsi"/>
                <w:i/>
                <w:sz w:val="18"/>
                <w:szCs w:val="18"/>
              </w:rPr>
              <w:t xml:space="preserve"> Đ</w:t>
            </w:r>
            <w:r w:rsidRPr="00F8001B">
              <w:rPr>
                <w:rFonts w:asciiTheme="minorHAnsi" w:hAnsiTheme="minorHAnsi" w:cstheme="minorHAnsi"/>
                <w:i/>
                <w:sz w:val="18"/>
                <w:szCs w:val="18"/>
              </w:rPr>
              <w:t>MTX</w:t>
            </w:r>
          </w:p>
        </w:tc>
        <w:tc>
          <w:tcPr>
            <w:tcW w:w="850" w:type="dxa"/>
            <w:tcBorders>
              <w:top w:val="dotted"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i/>
                <w:sz w:val="18"/>
                <w:szCs w:val="18"/>
              </w:rPr>
            </w:pPr>
            <w:r w:rsidRPr="00F8001B">
              <w:rPr>
                <w:rFonts w:asciiTheme="minorHAnsi" w:hAnsiTheme="minorHAnsi" w:cstheme="minorHAnsi"/>
                <w:i/>
                <w:sz w:val="18"/>
                <w:szCs w:val="18"/>
              </w:rPr>
              <w:t xml:space="preserve">2,428.0   </w:t>
            </w:r>
          </w:p>
        </w:tc>
        <w:tc>
          <w:tcPr>
            <w:tcW w:w="992" w:type="dxa"/>
            <w:tcBorders>
              <w:top w:val="dotted" w:sz="4" w:space="0" w:color="auto"/>
              <w:bottom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i/>
                <w:sz w:val="18"/>
                <w:szCs w:val="18"/>
              </w:rPr>
            </w:pPr>
            <w:r w:rsidRPr="00F8001B">
              <w:rPr>
                <w:rFonts w:asciiTheme="minorHAnsi" w:hAnsiTheme="minorHAnsi" w:cstheme="minorHAnsi"/>
                <w:i/>
                <w:sz w:val="18"/>
                <w:szCs w:val="18"/>
              </w:rPr>
              <w:t>36.59%</w:t>
            </w:r>
          </w:p>
        </w:tc>
        <w:tc>
          <w:tcPr>
            <w:tcW w:w="851" w:type="dxa"/>
            <w:tcBorders>
              <w:top w:val="dotted"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6</w:t>
            </w:r>
          </w:p>
        </w:tc>
        <w:tc>
          <w:tcPr>
            <w:tcW w:w="992" w:type="dxa"/>
            <w:tcBorders>
              <w:top w:val="dotted"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27.27%</w:t>
            </w:r>
          </w:p>
        </w:tc>
        <w:tc>
          <w:tcPr>
            <w:tcW w:w="851" w:type="dxa"/>
            <w:tcBorders>
              <w:top w:val="dotted" w:sz="4" w:space="0" w:color="auto"/>
              <w:bottom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i/>
                <w:sz w:val="18"/>
                <w:szCs w:val="18"/>
              </w:rPr>
            </w:pPr>
            <w:r w:rsidRPr="00F8001B">
              <w:rPr>
                <w:rFonts w:asciiTheme="minorHAnsi" w:hAnsiTheme="minorHAnsi" w:cstheme="minorHAnsi"/>
                <w:i/>
                <w:sz w:val="18"/>
                <w:szCs w:val="18"/>
              </w:rPr>
              <w:t xml:space="preserve">2,363.0   </w:t>
            </w:r>
          </w:p>
        </w:tc>
        <w:tc>
          <w:tcPr>
            <w:tcW w:w="992" w:type="dxa"/>
            <w:tcBorders>
              <w:top w:val="dotted" w:sz="4" w:space="0" w:color="auto"/>
              <w:bottom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i/>
                <w:sz w:val="18"/>
                <w:szCs w:val="18"/>
              </w:rPr>
            </w:pPr>
            <w:r w:rsidRPr="00F8001B">
              <w:rPr>
                <w:rFonts w:asciiTheme="minorHAnsi" w:hAnsiTheme="minorHAnsi" w:cstheme="minorHAnsi"/>
                <w:i/>
                <w:sz w:val="18"/>
                <w:szCs w:val="18"/>
              </w:rPr>
              <w:t>53.97%</w:t>
            </w:r>
          </w:p>
        </w:tc>
        <w:tc>
          <w:tcPr>
            <w:tcW w:w="850" w:type="dxa"/>
            <w:tcBorders>
              <w:top w:val="dotted" w:sz="4" w:space="0" w:color="auto"/>
              <w:bottom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i/>
                <w:sz w:val="18"/>
                <w:szCs w:val="18"/>
              </w:rPr>
            </w:pPr>
            <w:r w:rsidRPr="00F8001B">
              <w:rPr>
                <w:rFonts w:asciiTheme="minorHAnsi" w:hAnsiTheme="minorHAnsi" w:cstheme="minorHAnsi"/>
                <w:i/>
                <w:sz w:val="18"/>
                <w:szCs w:val="18"/>
              </w:rPr>
              <w:t>404.67</w:t>
            </w:r>
          </w:p>
        </w:tc>
        <w:tc>
          <w:tcPr>
            <w:tcW w:w="992" w:type="dxa"/>
            <w:tcBorders>
              <w:top w:val="dotted" w:sz="4" w:space="0" w:color="auto"/>
              <w:bottom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i/>
                <w:sz w:val="18"/>
                <w:szCs w:val="18"/>
              </w:rPr>
            </w:pPr>
            <w:r w:rsidRPr="00F8001B">
              <w:rPr>
                <w:rFonts w:asciiTheme="minorHAnsi" w:hAnsiTheme="minorHAnsi" w:cstheme="minorHAnsi"/>
                <w:i/>
                <w:sz w:val="18"/>
                <w:szCs w:val="18"/>
              </w:rPr>
              <w:t>393.83</w:t>
            </w:r>
          </w:p>
        </w:tc>
      </w:tr>
      <w:tr w:rsidR="00834F88" w:rsidRPr="00834F88" w:rsidTr="00F8001B">
        <w:trPr>
          <w:trHeight w:val="375"/>
        </w:trPr>
        <w:tc>
          <w:tcPr>
            <w:tcW w:w="1986" w:type="dxa"/>
            <w:tcBorders>
              <w:top w:val="single" w:sz="4" w:space="0" w:color="auto"/>
            </w:tcBorders>
            <w:shd w:val="clear" w:color="auto" w:fill="auto"/>
            <w:noWrap/>
            <w:vAlign w:val="center"/>
            <w:hideMark/>
          </w:tcPr>
          <w:p w:rsidR="00834F88" w:rsidRPr="00F8001B" w:rsidRDefault="00834F88" w:rsidP="00834F88">
            <w:pPr>
              <w:rPr>
                <w:rFonts w:asciiTheme="minorHAnsi" w:hAnsiTheme="minorHAnsi" w:cstheme="minorHAnsi"/>
                <w:b/>
                <w:bCs/>
                <w:sz w:val="18"/>
                <w:szCs w:val="18"/>
              </w:rPr>
            </w:pPr>
            <w:r w:rsidRPr="00F8001B">
              <w:rPr>
                <w:rFonts w:asciiTheme="minorHAnsi" w:hAnsiTheme="minorHAnsi" w:cstheme="minorHAnsi"/>
                <w:b/>
                <w:bCs/>
                <w:sz w:val="18"/>
                <w:szCs w:val="18"/>
              </w:rPr>
              <w:t>Tổng</w:t>
            </w:r>
          </w:p>
        </w:tc>
        <w:tc>
          <w:tcPr>
            <w:tcW w:w="850" w:type="dxa"/>
            <w:tcBorders>
              <w:top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b/>
                <w:bCs/>
                <w:sz w:val="18"/>
                <w:szCs w:val="18"/>
              </w:rPr>
            </w:pPr>
            <w:r w:rsidRPr="00F8001B">
              <w:rPr>
                <w:rFonts w:asciiTheme="minorHAnsi" w:hAnsiTheme="minorHAnsi" w:cstheme="minorHAnsi"/>
                <w:b/>
                <w:bCs/>
                <w:sz w:val="18"/>
                <w:szCs w:val="18"/>
              </w:rPr>
              <w:t>6,635</w:t>
            </w:r>
          </w:p>
        </w:tc>
        <w:tc>
          <w:tcPr>
            <w:tcW w:w="992" w:type="dxa"/>
            <w:tcBorders>
              <w:top w:val="single" w:sz="4" w:space="0" w:color="auto"/>
            </w:tcBorders>
            <w:shd w:val="clear" w:color="auto" w:fill="auto"/>
            <w:noWrap/>
            <w:vAlign w:val="center"/>
            <w:hideMark/>
          </w:tcPr>
          <w:p w:rsidR="00834F88" w:rsidRPr="00F8001B" w:rsidRDefault="00834F88" w:rsidP="00643B40">
            <w:pPr>
              <w:jc w:val="center"/>
              <w:rPr>
                <w:rFonts w:asciiTheme="minorHAnsi" w:hAnsiTheme="minorHAnsi" w:cstheme="minorHAnsi"/>
                <w:b/>
                <w:sz w:val="18"/>
                <w:szCs w:val="18"/>
              </w:rPr>
            </w:pPr>
            <w:r w:rsidRPr="00F8001B">
              <w:rPr>
                <w:rFonts w:asciiTheme="minorHAnsi" w:hAnsiTheme="minorHAnsi" w:cstheme="minorHAnsi"/>
                <w:b/>
                <w:sz w:val="18"/>
                <w:szCs w:val="18"/>
              </w:rPr>
              <w:t>100.00%</w:t>
            </w:r>
          </w:p>
        </w:tc>
        <w:tc>
          <w:tcPr>
            <w:tcW w:w="851" w:type="dxa"/>
            <w:tcBorders>
              <w:top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b/>
                <w:bCs/>
                <w:sz w:val="18"/>
                <w:szCs w:val="18"/>
              </w:rPr>
            </w:pPr>
            <w:r w:rsidRPr="00F8001B">
              <w:rPr>
                <w:rFonts w:asciiTheme="minorHAnsi" w:hAnsiTheme="minorHAnsi" w:cstheme="minorHAnsi"/>
                <w:b/>
                <w:bCs/>
                <w:sz w:val="18"/>
                <w:szCs w:val="18"/>
              </w:rPr>
              <w:t>22</w:t>
            </w:r>
          </w:p>
        </w:tc>
        <w:tc>
          <w:tcPr>
            <w:tcW w:w="992" w:type="dxa"/>
            <w:tcBorders>
              <w:top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b/>
                <w:sz w:val="18"/>
                <w:szCs w:val="18"/>
              </w:rPr>
            </w:pPr>
            <w:r w:rsidRPr="00F8001B">
              <w:rPr>
                <w:rFonts w:asciiTheme="minorHAnsi" w:hAnsiTheme="minorHAnsi" w:cstheme="minorHAnsi"/>
                <w:b/>
                <w:sz w:val="18"/>
                <w:szCs w:val="18"/>
              </w:rPr>
              <w:t>100.00%</w:t>
            </w:r>
          </w:p>
        </w:tc>
        <w:tc>
          <w:tcPr>
            <w:tcW w:w="851" w:type="dxa"/>
            <w:tcBorders>
              <w:top w:val="single" w:sz="4" w:space="0" w:color="auto"/>
            </w:tcBorders>
            <w:shd w:val="clear" w:color="auto" w:fill="auto"/>
            <w:noWrap/>
            <w:vAlign w:val="center"/>
            <w:hideMark/>
          </w:tcPr>
          <w:p w:rsidR="00834F88" w:rsidRPr="00F8001B" w:rsidRDefault="00834F88" w:rsidP="00834F88">
            <w:pPr>
              <w:jc w:val="right"/>
              <w:rPr>
                <w:rFonts w:asciiTheme="minorHAnsi" w:hAnsiTheme="minorHAnsi" w:cstheme="minorHAnsi"/>
                <w:b/>
                <w:bCs/>
                <w:sz w:val="18"/>
                <w:szCs w:val="18"/>
              </w:rPr>
            </w:pPr>
            <w:r w:rsidRPr="00F8001B">
              <w:rPr>
                <w:rFonts w:asciiTheme="minorHAnsi" w:hAnsiTheme="minorHAnsi" w:cstheme="minorHAnsi"/>
                <w:b/>
                <w:bCs/>
                <w:sz w:val="18"/>
                <w:szCs w:val="18"/>
              </w:rPr>
              <w:t>4,378</w:t>
            </w:r>
          </w:p>
        </w:tc>
        <w:tc>
          <w:tcPr>
            <w:tcW w:w="992" w:type="dxa"/>
            <w:tcBorders>
              <w:top w:val="single" w:sz="4" w:space="0" w:color="auto"/>
            </w:tcBorders>
            <w:shd w:val="clear" w:color="auto" w:fill="auto"/>
            <w:noWrap/>
            <w:vAlign w:val="center"/>
            <w:hideMark/>
          </w:tcPr>
          <w:p w:rsidR="00834F88" w:rsidRPr="00F8001B" w:rsidRDefault="00834F88" w:rsidP="00834F88">
            <w:pPr>
              <w:jc w:val="center"/>
              <w:rPr>
                <w:rFonts w:asciiTheme="minorHAnsi" w:hAnsiTheme="minorHAnsi" w:cstheme="minorHAnsi"/>
                <w:b/>
                <w:sz w:val="18"/>
                <w:szCs w:val="18"/>
              </w:rPr>
            </w:pPr>
            <w:r w:rsidRPr="00F8001B">
              <w:rPr>
                <w:rFonts w:asciiTheme="minorHAnsi" w:hAnsiTheme="minorHAnsi" w:cstheme="minorHAnsi"/>
                <w:b/>
                <w:sz w:val="18"/>
                <w:szCs w:val="18"/>
              </w:rPr>
              <w:t>100.00%</w:t>
            </w:r>
          </w:p>
        </w:tc>
        <w:tc>
          <w:tcPr>
            <w:tcW w:w="850" w:type="dxa"/>
            <w:tcBorders>
              <w:top w:val="single" w:sz="4" w:space="0" w:color="auto"/>
            </w:tcBorders>
            <w:shd w:val="clear" w:color="auto" w:fill="auto"/>
            <w:vAlign w:val="center"/>
            <w:hideMark/>
          </w:tcPr>
          <w:p w:rsidR="00834F88" w:rsidRPr="00F8001B" w:rsidRDefault="00834F88" w:rsidP="00643B40">
            <w:pPr>
              <w:jc w:val="center"/>
              <w:rPr>
                <w:rFonts w:asciiTheme="minorHAnsi" w:hAnsiTheme="minorHAnsi" w:cstheme="minorHAnsi"/>
                <w:b/>
                <w:bCs/>
                <w:sz w:val="18"/>
                <w:szCs w:val="18"/>
              </w:rPr>
            </w:pPr>
            <w:r w:rsidRPr="00F8001B">
              <w:rPr>
                <w:rFonts w:asciiTheme="minorHAnsi" w:hAnsiTheme="minorHAnsi" w:cstheme="minorHAnsi"/>
                <w:b/>
                <w:bCs/>
                <w:sz w:val="18"/>
                <w:szCs w:val="18"/>
              </w:rPr>
              <w:t>301.59</w:t>
            </w:r>
          </w:p>
        </w:tc>
        <w:tc>
          <w:tcPr>
            <w:tcW w:w="992" w:type="dxa"/>
            <w:tcBorders>
              <w:top w:val="single" w:sz="4" w:space="0" w:color="auto"/>
            </w:tcBorders>
            <w:shd w:val="clear" w:color="auto" w:fill="auto"/>
            <w:noWrap/>
            <w:vAlign w:val="center"/>
            <w:hideMark/>
          </w:tcPr>
          <w:p w:rsidR="00834F88" w:rsidRPr="00F8001B" w:rsidRDefault="00834F88" w:rsidP="00FB79C1">
            <w:pPr>
              <w:jc w:val="center"/>
              <w:rPr>
                <w:rFonts w:asciiTheme="minorHAnsi" w:hAnsiTheme="minorHAnsi" w:cstheme="minorHAnsi"/>
                <w:b/>
                <w:bCs/>
                <w:sz w:val="18"/>
                <w:szCs w:val="18"/>
              </w:rPr>
            </w:pPr>
            <w:r w:rsidRPr="00F8001B">
              <w:rPr>
                <w:rFonts w:asciiTheme="minorHAnsi" w:hAnsiTheme="minorHAnsi" w:cstheme="minorHAnsi"/>
                <w:b/>
                <w:bCs/>
                <w:sz w:val="18"/>
                <w:szCs w:val="18"/>
              </w:rPr>
              <w:t>199.02</w:t>
            </w:r>
          </w:p>
        </w:tc>
      </w:tr>
    </w:tbl>
    <w:p w:rsidR="00664BF1" w:rsidRDefault="00A349AC" w:rsidP="00D2568A">
      <w:pPr>
        <w:spacing w:before="140" w:after="140" w:line="320" w:lineRule="exact"/>
        <w:ind w:firstLine="567"/>
        <w:jc w:val="both"/>
        <w:rPr>
          <w:sz w:val="26"/>
        </w:rPr>
      </w:pPr>
      <w:r>
        <w:rPr>
          <w:sz w:val="26"/>
        </w:rPr>
        <w:t xml:space="preserve">Xét về các trị số bình quân </w:t>
      </w:r>
      <w:r w:rsidR="00BC5605">
        <w:rPr>
          <w:sz w:val="26"/>
        </w:rPr>
        <w:t xml:space="preserve">ta thấy </w:t>
      </w:r>
      <w:r>
        <w:rPr>
          <w:sz w:val="26"/>
        </w:rPr>
        <w:t>k</w:t>
      </w:r>
      <w:r w:rsidR="00664BF1">
        <w:rPr>
          <w:sz w:val="26"/>
        </w:rPr>
        <w:t>inh phí bình quân của chuyên ngành nghiên cứu, chế thử là 394 triệu/đề tài, cao nhất trong các chuyên ngành nhưng cũng mang lại giá trị làm lợi rất cao</w:t>
      </w:r>
      <w:r>
        <w:rPr>
          <w:sz w:val="26"/>
        </w:rPr>
        <w:t>. Chuyên ngành Thông tin tín hiệu có kinh phí bình quân 150 triệu/đề tài nhưng mang lại giá trị làm lợi bình quân lớn nhất là 630 triệu/đề tài phần nào cho thấy các nghiên cứu kể cả có liên quan đến lý thuyết của chuyên ngành TTTH cũng mang đến hiệu quả cao.</w:t>
      </w:r>
    </w:p>
    <w:p w:rsidR="00664BF1" w:rsidRDefault="00134411" w:rsidP="00D2568A">
      <w:pPr>
        <w:spacing w:before="140" w:after="140" w:line="320" w:lineRule="exact"/>
        <w:ind w:firstLine="567"/>
        <w:jc w:val="both"/>
        <w:rPr>
          <w:sz w:val="26"/>
        </w:rPr>
      </w:pPr>
      <w:r>
        <w:rPr>
          <w:noProof/>
          <w:sz w:val="26"/>
        </w:rPr>
        <w:drawing>
          <wp:anchor distT="0" distB="0" distL="114300" distR="114300" simplePos="0" relativeHeight="251664384" behindDoc="0" locked="0" layoutInCell="1" allowOverlap="1">
            <wp:simplePos x="0" y="0"/>
            <wp:positionH relativeFrom="column">
              <wp:posOffset>931269</wp:posOffset>
            </wp:positionH>
            <wp:positionV relativeFrom="paragraph">
              <wp:posOffset>105935</wp:posOffset>
            </wp:positionV>
            <wp:extent cx="3932555" cy="34626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2555" cy="3462655"/>
                    </a:xfrm>
                    <a:prstGeom prst="rect">
                      <a:avLst/>
                    </a:prstGeom>
                    <a:noFill/>
                  </pic:spPr>
                </pic:pic>
              </a:graphicData>
            </a:graphic>
            <wp14:sizeRelH relativeFrom="page">
              <wp14:pctWidth>0</wp14:pctWidth>
            </wp14:sizeRelH>
            <wp14:sizeRelV relativeFrom="page">
              <wp14:pctHeight>0</wp14:pctHeight>
            </wp14:sizeRelV>
          </wp:anchor>
        </w:drawing>
      </w: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664BF1" w:rsidP="00D2568A">
      <w:pPr>
        <w:spacing w:before="140" w:after="140" w:line="320" w:lineRule="exact"/>
        <w:ind w:firstLine="567"/>
        <w:jc w:val="both"/>
        <w:rPr>
          <w:sz w:val="26"/>
        </w:rPr>
      </w:pPr>
    </w:p>
    <w:p w:rsidR="00664BF1" w:rsidRDefault="00A349AC" w:rsidP="00D2568A">
      <w:pPr>
        <w:spacing w:before="140" w:after="140" w:line="320" w:lineRule="exact"/>
        <w:ind w:firstLine="567"/>
        <w:jc w:val="both"/>
        <w:rPr>
          <w:sz w:val="26"/>
        </w:rPr>
      </w:pPr>
      <w:r>
        <w:rPr>
          <w:sz w:val="26"/>
        </w:rPr>
        <w:t>Xét về tỷ trọng ảnh hưởng của các chuyên ngành trong thực hiện thì n</w:t>
      </w:r>
      <w:r w:rsidR="00BC5605">
        <w:rPr>
          <w:sz w:val="26"/>
        </w:rPr>
        <w:t>hóm nghiên cứu chế thử (gồm cả công trình, thông tin tín hiệu và đầu máy toa xe)</w:t>
      </w:r>
      <w:r w:rsidR="00643B40">
        <w:rPr>
          <w:sz w:val="26"/>
        </w:rPr>
        <w:t xml:space="preserve"> với </w:t>
      </w:r>
      <w:r w:rsidR="00BC5605">
        <w:rPr>
          <w:sz w:val="26"/>
        </w:rPr>
        <w:t xml:space="preserve"> </w:t>
      </w:r>
      <w:r w:rsidR="00643B40">
        <w:rPr>
          <w:sz w:val="26"/>
        </w:rPr>
        <w:t xml:space="preserve">11 đề tài, chiếm 50% số đề tài đã thực hiện được </w:t>
      </w:r>
      <w:r w:rsidR="00BC5605">
        <w:rPr>
          <w:sz w:val="26"/>
        </w:rPr>
        <w:t xml:space="preserve">và kinh phí </w:t>
      </w:r>
      <w:r w:rsidR="00643B40">
        <w:rPr>
          <w:sz w:val="26"/>
        </w:rPr>
        <w:t xml:space="preserve">là 4 tỷ 339 triệu, chiếm </w:t>
      </w:r>
      <w:r w:rsidR="00BC5605">
        <w:rPr>
          <w:sz w:val="26"/>
        </w:rPr>
        <w:t xml:space="preserve">65%, </w:t>
      </w:r>
      <w:r w:rsidR="0029713E">
        <w:rPr>
          <w:sz w:val="26"/>
        </w:rPr>
        <w:t xml:space="preserve">đạt </w:t>
      </w:r>
      <w:r>
        <w:rPr>
          <w:sz w:val="26"/>
        </w:rPr>
        <w:t xml:space="preserve">tỷ trọng </w:t>
      </w:r>
      <w:r w:rsidR="00BC5605">
        <w:rPr>
          <w:sz w:val="26"/>
        </w:rPr>
        <w:t>lớn nhấ</w:t>
      </w:r>
      <w:r w:rsidR="00643B40">
        <w:rPr>
          <w:sz w:val="26"/>
        </w:rPr>
        <w:t xml:space="preserve">t trong nghiên cứu khoa học thể được xu hướng tập trung cho nghiên cứu ứng dụng là chính. Hơn nữa, những nghiên cứu ứng dụng này cũng mang lại </w:t>
      </w:r>
      <w:r w:rsidR="00664BF1">
        <w:rPr>
          <w:sz w:val="26"/>
        </w:rPr>
        <w:t xml:space="preserve">tổng </w:t>
      </w:r>
      <w:r w:rsidR="00643B40">
        <w:rPr>
          <w:sz w:val="26"/>
        </w:rPr>
        <w:t>giá trị làm lợi lớn nhất với 3 tỷ 448 triệu đồng, chiếm 78,76% giá trị làm lợi của năm 2014.</w:t>
      </w:r>
    </w:p>
    <w:p w:rsidR="00915A64" w:rsidRDefault="00134411" w:rsidP="00915A64">
      <w:pPr>
        <w:spacing w:before="140" w:after="140" w:line="320" w:lineRule="exact"/>
        <w:jc w:val="both"/>
        <w:rPr>
          <w:sz w:val="26"/>
        </w:rPr>
      </w:pPr>
      <w:r>
        <w:rPr>
          <w:noProof/>
          <w:sz w:val="26"/>
        </w:rPr>
        <w:drawing>
          <wp:anchor distT="0" distB="0" distL="114300" distR="114300" simplePos="0" relativeHeight="251665408" behindDoc="0" locked="0" layoutInCell="1" allowOverlap="1" wp14:anchorId="1C4BA346" wp14:editId="1CC38235">
            <wp:simplePos x="0" y="0"/>
            <wp:positionH relativeFrom="column">
              <wp:posOffset>3133090</wp:posOffset>
            </wp:positionH>
            <wp:positionV relativeFrom="paragraph">
              <wp:posOffset>40640</wp:posOffset>
            </wp:positionV>
            <wp:extent cx="2993390" cy="29324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2932430"/>
                    </a:xfrm>
                    <a:prstGeom prst="rect">
                      <a:avLst/>
                    </a:prstGeom>
                    <a:noFill/>
                  </pic:spPr>
                </pic:pic>
              </a:graphicData>
            </a:graphic>
            <wp14:sizeRelH relativeFrom="page">
              <wp14:pctWidth>0</wp14:pctWidth>
            </wp14:sizeRelH>
            <wp14:sizeRelV relativeFrom="page">
              <wp14:pctHeight>0</wp14:pctHeight>
            </wp14:sizeRelV>
          </wp:anchor>
        </w:drawing>
      </w:r>
      <w:r>
        <w:rPr>
          <w:noProof/>
          <w:sz w:val="26"/>
        </w:rPr>
        <w:drawing>
          <wp:anchor distT="0" distB="0" distL="114300" distR="114300" simplePos="0" relativeHeight="251666432" behindDoc="0" locked="0" layoutInCell="1" allowOverlap="1" wp14:anchorId="71CC5C81" wp14:editId="4805A9B0">
            <wp:simplePos x="0" y="0"/>
            <wp:positionH relativeFrom="column">
              <wp:posOffset>-47210</wp:posOffset>
            </wp:positionH>
            <wp:positionV relativeFrom="paragraph">
              <wp:posOffset>32109</wp:posOffset>
            </wp:positionV>
            <wp:extent cx="2993390" cy="29324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2932430"/>
                    </a:xfrm>
                    <a:prstGeom prst="rect">
                      <a:avLst/>
                    </a:prstGeom>
                    <a:noFill/>
                  </pic:spPr>
                </pic:pic>
              </a:graphicData>
            </a:graphic>
            <wp14:sizeRelH relativeFrom="page">
              <wp14:pctWidth>0</wp14:pctWidth>
            </wp14:sizeRelH>
            <wp14:sizeRelV relativeFrom="page">
              <wp14:pctHeight>0</wp14:pctHeight>
            </wp14:sizeRelV>
          </wp:anchor>
        </w:drawing>
      </w:r>
    </w:p>
    <w:p w:rsidR="00915A64" w:rsidRDefault="00915A64" w:rsidP="00915A64">
      <w:pPr>
        <w:spacing w:before="140" w:after="140" w:line="320" w:lineRule="exact"/>
        <w:jc w:val="both"/>
        <w:rPr>
          <w:sz w:val="26"/>
        </w:rPr>
      </w:pPr>
    </w:p>
    <w:p w:rsidR="00915A64" w:rsidRDefault="00915A64"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271B3F" w:rsidRDefault="00271B3F" w:rsidP="00915A64">
      <w:pPr>
        <w:spacing w:before="140" w:after="140" w:line="320" w:lineRule="exact"/>
        <w:jc w:val="both"/>
        <w:rPr>
          <w:sz w:val="26"/>
        </w:rPr>
      </w:pPr>
    </w:p>
    <w:p w:rsidR="00FB79C1" w:rsidRDefault="00FB79C1" w:rsidP="00D2568A">
      <w:pPr>
        <w:spacing w:before="140" w:after="140" w:line="320" w:lineRule="exact"/>
        <w:ind w:firstLine="567"/>
        <w:jc w:val="both"/>
        <w:rPr>
          <w:sz w:val="26"/>
        </w:rPr>
      </w:pPr>
      <w:r>
        <w:rPr>
          <w:sz w:val="26"/>
        </w:rPr>
        <w:t>Trong nghiên cứu chế thử thì chuyên ngành ĐMTX vẫn chiếm cao nhất với 6 đề tài và tổng kinh phí là 2 tỷ 428 triệu, giá trị bình quân là 404,6 triệu/đề tài và giá trị làm lợi bình quân là 393 triệu/đề tài. Tuy nhiên kinh phí bình quân của nghiên cứu chế thử chuyên ngành TTTH mặc dù chỉ có 294 triệu/đề tài nhưng giá trị làm lợi là cao nhất, đạt 472 triệu/đề tài. Chuyên ngành Công trình vẫn là chuyên ngành</w:t>
      </w:r>
      <w:r w:rsidR="00C44FBD">
        <w:rPr>
          <w:sz w:val="26"/>
        </w:rPr>
        <w:t xml:space="preserve"> có kinh phí thực hiện </w:t>
      </w:r>
      <w:r>
        <w:rPr>
          <w:sz w:val="26"/>
        </w:rPr>
        <w:t>bình quân cao nhất là 441 triệu/đề tài, tuy nhiên giá trị làm lợi chỉ có 47,13 triệu/đề tài</w:t>
      </w:r>
      <w:r w:rsidR="00C44FBD">
        <w:rPr>
          <w:sz w:val="26"/>
        </w:rPr>
        <w:t xml:space="preserve"> thấp nhất trong các chuyên ngành thuộc nghiên cứu chế thử</w:t>
      </w:r>
      <w:r>
        <w:rPr>
          <w:sz w:val="26"/>
        </w:rPr>
        <w:t>.</w:t>
      </w:r>
    </w:p>
    <w:p w:rsidR="00643B40" w:rsidRDefault="00643B40" w:rsidP="00D2568A">
      <w:pPr>
        <w:spacing w:before="140" w:after="140" w:line="320" w:lineRule="exact"/>
        <w:ind w:firstLine="567"/>
        <w:jc w:val="both"/>
        <w:rPr>
          <w:sz w:val="26"/>
        </w:rPr>
      </w:pPr>
      <w:r>
        <w:rPr>
          <w:sz w:val="26"/>
        </w:rPr>
        <w:t>Chuyên ngành CNTT có 5 đề tài, chiếm 22,73% tổng số đề tài với kinh phí thực hiện là 1 tỷ 471 triệu chiếm 22,17% trong tổng số kinh phí</w:t>
      </w:r>
      <w:r w:rsidR="00FB79C1">
        <w:rPr>
          <w:sz w:val="26"/>
        </w:rPr>
        <w:t>, điều này cho thấy TCT ĐSVN vẫn quan tâm đến việc ứng dụng CNTT vào quản lý</w:t>
      </w:r>
      <w:r>
        <w:rPr>
          <w:sz w:val="26"/>
        </w:rPr>
        <w:t xml:space="preserve">. Tuy nhiên chỉ theo báo cáo chỉ có làm lợi 50 triệu đồng, do đó giá trị làm lợi bình quân là thấp nhất chỉ 10 triệu/đề tài. </w:t>
      </w:r>
      <w:r w:rsidR="00F8001B">
        <w:rPr>
          <w:sz w:val="26"/>
        </w:rPr>
        <w:t xml:space="preserve">Mặc dù có đề tài mang lại hiệu quả rất cao như </w:t>
      </w:r>
      <w:r w:rsidR="00F8001B" w:rsidRPr="00F8001B">
        <w:rPr>
          <w:i/>
          <w:sz w:val="26"/>
        </w:rPr>
        <w:t>“Nghiên cứu xây dựng chương trình thống kê, đối chiếu tổng hợp số liệu thanh toán sản phẩm vận tải đoàn tàu Km và Tấn Km tổng trọng (đối với các đoàn tàu hàng)”</w:t>
      </w:r>
      <w:r w:rsidR="00F8001B">
        <w:rPr>
          <w:sz w:val="26"/>
        </w:rPr>
        <w:t xml:space="preserve"> nhưng</w:t>
      </w:r>
      <w:r>
        <w:rPr>
          <w:sz w:val="26"/>
        </w:rPr>
        <w:t xml:space="preserve"> do các đơn vị không xác định giá trị làm lợi bằng tiền từ những đề tài này, dẫn đến làm giảm đi giá trị làm lợi bình quân của chuyên ngành CNTT nói riêng và toàn bộ các đề tài nói chung.</w:t>
      </w:r>
      <w:r w:rsidR="00FB79C1">
        <w:rPr>
          <w:sz w:val="26"/>
        </w:rPr>
        <w:t xml:space="preserve"> </w:t>
      </w:r>
    </w:p>
    <w:p w:rsidR="00D2568A" w:rsidRDefault="00D2568A" w:rsidP="00D2568A">
      <w:pPr>
        <w:spacing w:before="140" w:after="140" w:line="320" w:lineRule="exact"/>
        <w:ind w:firstLine="567"/>
        <w:jc w:val="both"/>
        <w:rPr>
          <w:sz w:val="26"/>
        </w:rPr>
      </w:pPr>
      <w:r>
        <w:rPr>
          <w:sz w:val="26"/>
        </w:rPr>
        <w:t>Các chuyên ngành như vận tải và quản lý kinh tế vẫn là những chuyên ngành khó xác định hiệu quả kinh tế nhất</w:t>
      </w:r>
      <w:r w:rsidR="00271B3F">
        <w:rPr>
          <w:sz w:val="26"/>
        </w:rPr>
        <w:t xml:space="preserve"> dẫn đến tỷ trọng giá trị làm lợi bằng tiền mang lại hiện nay thấp</w:t>
      </w:r>
      <w:r>
        <w:rPr>
          <w:sz w:val="26"/>
        </w:rPr>
        <w:t xml:space="preserve">. </w:t>
      </w:r>
    </w:p>
    <w:p w:rsidR="00C44FBD" w:rsidRPr="00C44FBD" w:rsidRDefault="00C44FBD" w:rsidP="00C44FBD">
      <w:pPr>
        <w:spacing w:before="140" w:after="140" w:line="320" w:lineRule="exact"/>
        <w:ind w:firstLine="567"/>
        <w:jc w:val="both"/>
        <w:rPr>
          <w:sz w:val="26"/>
        </w:rPr>
      </w:pPr>
      <w:r w:rsidRPr="00C44FBD">
        <w:rPr>
          <w:sz w:val="26"/>
        </w:rPr>
        <w:t>Bên cạnh những giá trị làm lợi có thể ước tính bằng tiền, các giá trị khác làm lợi khác còn thể hiện trên các mặt: t</w:t>
      </w:r>
      <w:r w:rsidRPr="00C44FBD">
        <w:rPr>
          <w:rFonts w:cstheme="majorHAnsi"/>
          <w:sz w:val="26"/>
        </w:rPr>
        <w:t>iết kiệm được chi phí so với việc phải mua thiết bị, linh kiện từ nguồn bên ngoài hoặc phải nhập khẩu; do chủ động được việc cung ứng thiết bị, linh kiện nên giảm thời gian chờ của máy móc nếu thiếu linh kiện, thiết bị thay thế, tăng thời gian vận dụng của thiết bị; kết quả nghiên cứu khi đưa các vật liệu mới vào thay thế đã làm tăng độ bền của thiết bị từ đó kéo dài thời gian sử dụng máy móc; các nghiên cứu góp phần đảm bảo an toàn chạy tàu từ đó giảm chi phí đã bỏ ra để khắc phục sự cố; việc ứng dụng các công nghệ mới giúp tăng năng suất lao động làm tăng doanh thu (nhất là trong công tác sửa chữa và các phần mềm ứng dụng trong quản lý); góp phần ảnh hưởng phong trào nghiên cứu, cải tiến kỹ thuật, công nghệ trong đơn vị; thay đổi phương pháp quản lý theo hướng tích cực; cán bộ kỹ thuật tự tin hơn trong ứng dụng các công nghệ mới…</w:t>
      </w:r>
    </w:p>
    <w:p w:rsidR="00D2568A" w:rsidRPr="00C44FBD" w:rsidRDefault="00C44FBD" w:rsidP="00D2568A">
      <w:pPr>
        <w:spacing w:before="140" w:after="140" w:line="320" w:lineRule="exact"/>
        <w:ind w:firstLine="567"/>
        <w:jc w:val="both"/>
        <w:rPr>
          <w:b/>
          <w:sz w:val="26"/>
        </w:rPr>
      </w:pPr>
      <w:r w:rsidRPr="00C44FBD">
        <w:rPr>
          <w:b/>
          <w:sz w:val="26"/>
        </w:rPr>
        <w:t>Kết luận</w:t>
      </w:r>
      <w:r w:rsidR="00A04CA1">
        <w:rPr>
          <w:b/>
          <w:sz w:val="26"/>
        </w:rPr>
        <w:t xml:space="preserve"> và kiến nghị</w:t>
      </w:r>
      <w:r w:rsidRPr="00C44FBD">
        <w:rPr>
          <w:b/>
          <w:sz w:val="26"/>
        </w:rPr>
        <w:t>:</w:t>
      </w:r>
    </w:p>
    <w:p w:rsidR="00D2568A" w:rsidRDefault="00A04CA1" w:rsidP="00D2568A">
      <w:pPr>
        <w:spacing w:before="140" w:after="140" w:line="320" w:lineRule="exact"/>
        <w:ind w:firstLine="567"/>
        <w:jc w:val="both"/>
        <w:rPr>
          <w:sz w:val="26"/>
        </w:rPr>
      </w:pPr>
      <w:r>
        <w:rPr>
          <w:sz w:val="26"/>
        </w:rPr>
        <w:t xml:space="preserve">- </w:t>
      </w:r>
      <w:r w:rsidR="00C44FBD">
        <w:rPr>
          <w:sz w:val="26"/>
        </w:rPr>
        <w:t>Việc nghiên cứu KHCN của Tổng Công ty vẫn đảm bảo định hướng nghiên cứu ứng dụng là chính. Các sản phẩm, thiết bị sau khi được nghiên cứu đều đã ứng dụng mạnh mẽ vào hoạt động SXKD mang lại hiệu quả cao từ việc tiết kiệm chi phí so với sản phẩm, thiết bị cùng loại được nhập khẩu.</w:t>
      </w:r>
    </w:p>
    <w:p w:rsidR="00C44FBD" w:rsidRDefault="00A04CA1" w:rsidP="00D2568A">
      <w:pPr>
        <w:spacing w:before="140" w:after="140" w:line="320" w:lineRule="exact"/>
        <w:ind w:firstLine="567"/>
        <w:jc w:val="both"/>
        <w:rPr>
          <w:sz w:val="26"/>
        </w:rPr>
      </w:pPr>
      <w:r>
        <w:rPr>
          <w:sz w:val="26"/>
        </w:rPr>
        <w:lastRenderedPageBreak/>
        <w:t xml:space="preserve">- </w:t>
      </w:r>
      <w:r w:rsidR="00C44FBD">
        <w:rPr>
          <w:sz w:val="26"/>
        </w:rPr>
        <w:t>Tổng Công ty vẫn chú trọng nghiên cứu, ứng dụng CNTT vào hoạt động quản lý SXKD</w:t>
      </w:r>
      <w:r w:rsidR="00F8001B">
        <w:rPr>
          <w:sz w:val="26"/>
        </w:rPr>
        <w:t xml:space="preserve"> cho thấy mong muốn tiếp tục cải cách phương thức quản lý theo hướng hiện đại, chuyên nghiệp.</w:t>
      </w:r>
      <w:r>
        <w:rPr>
          <w:sz w:val="26"/>
        </w:rPr>
        <w:t xml:space="preserve"> Tuy nhiên do điều kiện ứng dụng khác nhau nên việc nhân rộng còn hạn chế.</w:t>
      </w:r>
    </w:p>
    <w:p w:rsidR="00A04CA1" w:rsidRDefault="00A04CA1" w:rsidP="00D2568A">
      <w:pPr>
        <w:spacing w:before="140" w:after="140" w:line="320" w:lineRule="exact"/>
        <w:ind w:firstLine="567"/>
        <w:jc w:val="both"/>
        <w:rPr>
          <w:sz w:val="26"/>
        </w:rPr>
      </w:pPr>
      <w:r>
        <w:rPr>
          <w:sz w:val="26"/>
        </w:rPr>
        <w:t>- Một số đề tài chưa xác định được hiệu quả bằng tiền nên làm giảm giá trị làm lợi bình quân đề tài xuống. Ban HTQT&amp;KHCN sẽ nhắc nhở, đề nghị các hội đồng khi nghiệm thu, đánh giá đề tài cần ước lượng được hiệu quả bằng tiền và không bằng tiền để đảm bảo việc đánh giá, phân tích khách quan sau này.</w:t>
      </w:r>
    </w:p>
    <w:sectPr w:rsidR="00A04CA1" w:rsidSect="00D2568A">
      <w:pgSz w:w="11907" w:h="16840" w:code="9"/>
      <w:pgMar w:top="993"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2A"/>
    <w:rsid w:val="000873EF"/>
    <w:rsid w:val="00134411"/>
    <w:rsid w:val="001C33E4"/>
    <w:rsid w:val="00271B3F"/>
    <w:rsid w:val="0027432C"/>
    <w:rsid w:val="0028772A"/>
    <w:rsid w:val="00291B80"/>
    <w:rsid w:val="00296ED7"/>
    <w:rsid w:val="0029713E"/>
    <w:rsid w:val="002A6624"/>
    <w:rsid w:val="003C0D27"/>
    <w:rsid w:val="004361C8"/>
    <w:rsid w:val="00550809"/>
    <w:rsid w:val="005554A9"/>
    <w:rsid w:val="0058310C"/>
    <w:rsid w:val="005B26AD"/>
    <w:rsid w:val="005E43FC"/>
    <w:rsid w:val="006367E0"/>
    <w:rsid w:val="00643B40"/>
    <w:rsid w:val="00664BF1"/>
    <w:rsid w:val="006B0D47"/>
    <w:rsid w:val="00771F51"/>
    <w:rsid w:val="007A7B91"/>
    <w:rsid w:val="00834F88"/>
    <w:rsid w:val="00876120"/>
    <w:rsid w:val="008A0E69"/>
    <w:rsid w:val="008C29CC"/>
    <w:rsid w:val="009146DA"/>
    <w:rsid w:val="00915A64"/>
    <w:rsid w:val="00922E24"/>
    <w:rsid w:val="0093355E"/>
    <w:rsid w:val="009D7E57"/>
    <w:rsid w:val="009E0C39"/>
    <w:rsid w:val="009F2AC1"/>
    <w:rsid w:val="00A04CA1"/>
    <w:rsid w:val="00A349AC"/>
    <w:rsid w:val="00A53E7A"/>
    <w:rsid w:val="00B06518"/>
    <w:rsid w:val="00B9006B"/>
    <w:rsid w:val="00BA2B80"/>
    <w:rsid w:val="00BC5605"/>
    <w:rsid w:val="00C438B7"/>
    <w:rsid w:val="00C44FBD"/>
    <w:rsid w:val="00CA1587"/>
    <w:rsid w:val="00CC5CF2"/>
    <w:rsid w:val="00D2568A"/>
    <w:rsid w:val="00D8200F"/>
    <w:rsid w:val="00DC0F31"/>
    <w:rsid w:val="00E65996"/>
    <w:rsid w:val="00E8685B"/>
    <w:rsid w:val="00ED1D02"/>
    <w:rsid w:val="00F31727"/>
    <w:rsid w:val="00F47CAD"/>
    <w:rsid w:val="00F53EDF"/>
    <w:rsid w:val="00F8001B"/>
    <w:rsid w:val="00FB79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2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8772A"/>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72A"/>
    <w:rPr>
      <w:rFonts w:ascii=".VnTimeH" w:eastAsia="Times New Roman" w:hAnsi=".VnTimeH" w:cs="Times New Roman"/>
      <w:b/>
      <w:sz w:val="24"/>
      <w:szCs w:val="20"/>
      <w:lang w:val="en-US"/>
    </w:rPr>
  </w:style>
  <w:style w:type="paragraph" w:styleId="ListParagraph">
    <w:name w:val="List Paragraph"/>
    <w:basedOn w:val="Normal"/>
    <w:uiPriority w:val="34"/>
    <w:qFormat/>
    <w:rsid w:val="002A6624"/>
    <w:pPr>
      <w:ind w:left="720"/>
      <w:contextualSpacing/>
    </w:pPr>
  </w:style>
  <w:style w:type="paragraph" w:styleId="BalloonText">
    <w:name w:val="Balloon Text"/>
    <w:basedOn w:val="Normal"/>
    <w:link w:val="BalloonTextChar"/>
    <w:uiPriority w:val="99"/>
    <w:semiHidden/>
    <w:unhideWhenUsed/>
    <w:rsid w:val="005B26AD"/>
    <w:rPr>
      <w:rFonts w:ascii="Tahoma" w:hAnsi="Tahoma" w:cs="Tahoma"/>
      <w:sz w:val="16"/>
      <w:szCs w:val="16"/>
    </w:rPr>
  </w:style>
  <w:style w:type="character" w:customStyle="1" w:styleId="BalloonTextChar">
    <w:name w:val="Balloon Text Char"/>
    <w:basedOn w:val="DefaultParagraphFont"/>
    <w:link w:val="BalloonText"/>
    <w:uiPriority w:val="99"/>
    <w:semiHidden/>
    <w:rsid w:val="005B26A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2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8772A"/>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72A"/>
    <w:rPr>
      <w:rFonts w:ascii=".VnTimeH" w:eastAsia="Times New Roman" w:hAnsi=".VnTimeH" w:cs="Times New Roman"/>
      <w:b/>
      <w:sz w:val="24"/>
      <w:szCs w:val="20"/>
      <w:lang w:val="en-US"/>
    </w:rPr>
  </w:style>
  <w:style w:type="paragraph" w:styleId="ListParagraph">
    <w:name w:val="List Paragraph"/>
    <w:basedOn w:val="Normal"/>
    <w:uiPriority w:val="34"/>
    <w:qFormat/>
    <w:rsid w:val="002A6624"/>
    <w:pPr>
      <w:ind w:left="720"/>
      <w:contextualSpacing/>
    </w:pPr>
  </w:style>
  <w:style w:type="paragraph" w:styleId="BalloonText">
    <w:name w:val="Balloon Text"/>
    <w:basedOn w:val="Normal"/>
    <w:link w:val="BalloonTextChar"/>
    <w:uiPriority w:val="99"/>
    <w:semiHidden/>
    <w:unhideWhenUsed/>
    <w:rsid w:val="005B26AD"/>
    <w:rPr>
      <w:rFonts w:ascii="Tahoma" w:hAnsi="Tahoma" w:cs="Tahoma"/>
      <w:sz w:val="16"/>
      <w:szCs w:val="16"/>
    </w:rPr>
  </w:style>
  <w:style w:type="character" w:customStyle="1" w:styleId="BalloonTextChar">
    <w:name w:val="Balloon Text Char"/>
    <w:basedOn w:val="DefaultParagraphFont"/>
    <w:link w:val="BalloonText"/>
    <w:uiPriority w:val="99"/>
    <w:semiHidden/>
    <w:rsid w:val="005B26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2560">
      <w:bodyDiv w:val="1"/>
      <w:marLeft w:val="0"/>
      <w:marRight w:val="0"/>
      <w:marTop w:val="0"/>
      <w:marBottom w:val="0"/>
      <w:divBdr>
        <w:top w:val="none" w:sz="0" w:space="0" w:color="auto"/>
        <w:left w:val="none" w:sz="0" w:space="0" w:color="auto"/>
        <w:bottom w:val="none" w:sz="0" w:space="0" w:color="auto"/>
        <w:right w:val="none" w:sz="0" w:space="0" w:color="auto"/>
      </w:divBdr>
    </w:div>
    <w:div w:id="4458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85A5-CCAE-487D-B9A5-FB684851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Nguyen Thanh</dc:creator>
  <cp:lastModifiedBy>Trung Nguyen Thanh</cp:lastModifiedBy>
  <cp:revision>2</cp:revision>
  <cp:lastPrinted>2015-08-17T02:33:00Z</cp:lastPrinted>
  <dcterms:created xsi:type="dcterms:W3CDTF">2015-11-06T01:40:00Z</dcterms:created>
  <dcterms:modified xsi:type="dcterms:W3CDTF">2015-11-06T01:40:00Z</dcterms:modified>
</cp:coreProperties>
</file>